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79A530F2" w14:textId="77777777" w:rsidR="00B07705" w:rsidRDefault="00B07705" w:rsidP="00040536">
      <w:pPr>
        <w:spacing w:line="360" w:lineRule="auto"/>
        <w:jc w:val="center"/>
        <w:rPr>
          <w:rFonts w:ascii="Tahoma" w:hAnsi="Tahoma" w:cs="Tahoma"/>
          <w:b/>
          <w:bCs/>
          <w:sz w:val="24"/>
          <w:szCs w:val="24"/>
        </w:rPr>
      </w:pPr>
    </w:p>
    <w:p w14:paraId="4708E870" w14:textId="23F29CE0" w:rsidR="0075311E" w:rsidRDefault="0075311E" w:rsidP="00040536">
      <w:pPr>
        <w:spacing w:line="360" w:lineRule="auto"/>
        <w:jc w:val="center"/>
        <w:rPr>
          <w:rFonts w:ascii="Tahoma" w:hAnsi="Tahoma" w:cs="Tahoma"/>
          <w:b/>
          <w:bCs/>
          <w:sz w:val="24"/>
          <w:szCs w:val="24"/>
        </w:rPr>
      </w:pPr>
      <w:r>
        <w:rPr>
          <w:rFonts w:ascii="Tahoma" w:hAnsi="Tahoma" w:cs="Tahoma"/>
          <w:b/>
          <w:bCs/>
          <w:sz w:val="24"/>
          <w:szCs w:val="24"/>
        </w:rPr>
        <w:t>Policy Brief, May 2025, Maseru, Lesotho</w:t>
      </w:r>
    </w:p>
    <w:p w14:paraId="1620F153" w14:textId="77777777" w:rsidR="0075311E" w:rsidRDefault="0075311E" w:rsidP="00040536">
      <w:pPr>
        <w:spacing w:line="360" w:lineRule="auto"/>
        <w:jc w:val="center"/>
        <w:rPr>
          <w:rFonts w:ascii="Tahoma" w:hAnsi="Tahoma" w:cs="Tahoma"/>
          <w:b/>
          <w:bCs/>
          <w:sz w:val="24"/>
          <w:szCs w:val="24"/>
        </w:rPr>
      </w:pPr>
    </w:p>
    <w:p w14:paraId="783154CA" w14:textId="099C2A21" w:rsidR="00040536" w:rsidRPr="00716EE2" w:rsidRDefault="00040536" w:rsidP="00040536">
      <w:pPr>
        <w:spacing w:line="360" w:lineRule="auto"/>
        <w:jc w:val="center"/>
        <w:rPr>
          <w:rFonts w:ascii="Tahoma" w:hAnsi="Tahoma" w:cs="Tahoma"/>
          <w:b/>
          <w:bCs/>
          <w:sz w:val="24"/>
          <w:szCs w:val="24"/>
        </w:rPr>
      </w:pPr>
      <w:r w:rsidRPr="00716EE2">
        <w:rPr>
          <w:rFonts w:ascii="Tahoma" w:hAnsi="Tahoma" w:cs="Tahoma"/>
          <w:b/>
          <w:bCs/>
          <w:sz w:val="24"/>
          <w:szCs w:val="24"/>
        </w:rPr>
        <w:t>Implementing the African Union Transitional Justice Policy in Lesotho: Pathways to sustainable peace, justice and reconciliation</w:t>
      </w:r>
    </w:p>
    <w:p w14:paraId="178EB26F" w14:textId="77777777" w:rsidR="00040536" w:rsidRPr="00B07705" w:rsidRDefault="00040536" w:rsidP="00040536">
      <w:pPr>
        <w:spacing w:line="360" w:lineRule="auto"/>
        <w:jc w:val="center"/>
        <w:rPr>
          <w:rFonts w:ascii="Tahoma" w:hAnsi="Tahoma" w:cs="Tahoma"/>
          <w:bCs/>
          <w:sz w:val="24"/>
          <w:szCs w:val="24"/>
        </w:rPr>
      </w:pPr>
      <w:r w:rsidRPr="00B07705">
        <w:rPr>
          <w:rFonts w:ascii="Tahoma" w:hAnsi="Tahoma" w:cs="Tahoma"/>
          <w:bCs/>
          <w:sz w:val="24"/>
          <w:szCs w:val="24"/>
        </w:rPr>
        <w:t>By</w:t>
      </w:r>
    </w:p>
    <w:p w14:paraId="79B6812C" w14:textId="109B4DE0" w:rsidR="00040536" w:rsidRPr="00B07705" w:rsidRDefault="005E1D17" w:rsidP="00040536">
      <w:pPr>
        <w:spacing w:line="360" w:lineRule="auto"/>
        <w:jc w:val="center"/>
        <w:rPr>
          <w:rFonts w:ascii="Tahoma" w:hAnsi="Tahoma" w:cs="Tahoma"/>
          <w:bCs/>
          <w:sz w:val="24"/>
          <w:szCs w:val="24"/>
        </w:rPr>
      </w:pPr>
      <w:r w:rsidRPr="00B07705">
        <w:rPr>
          <w:rFonts w:ascii="Tahoma" w:hAnsi="Tahoma" w:cs="Tahoma"/>
          <w:bCs/>
          <w:sz w:val="24"/>
          <w:szCs w:val="24"/>
        </w:rPr>
        <w:t>Khabele Matlosa</w:t>
      </w:r>
      <w:r w:rsidR="00040536" w:rsidRPr="00B07705">
        <w:rPr>
          <w:rStyle w:val="FootnoteReference"/>
          <w:rFonts w:ascii="Tahoma" w:hAnsi="Tahoma" w:cs="Tahoma"/>
          <w:bCs/>
          <w:sz w:val="24"/>
          <w:szCs w:val="24"/>
        </w:rPr>
        <w:footnoteReference w:id="1"/>
      </w:r>
      <w:r w:rsidR="004908C1">
        <w:rPr>
          <w:rFonts w:ascii="Tahoma" w:hAnsi="Tahoma" w:cs="Tahoma"/>
          <w:bCs/>
          <w:sz w:val="24"/>
          <w:szCs w:val="24"/>
        </w:rPr>
        <w:t xml:space="preserve"> &amp; </w:t>
      </w:r>
      <w:r w:rsidRPr="00B07705">
        <w:rPr>
          <w:rFonts w:ascii="Tahoma" w:hAnsi="Tahoma" w:cs="Tahoma"/>
          <w:bCs/>
          <w:sz w:val="24"/>
          <w:szCs w:val="24"/>
        </w:rPr>
        <w:t>Moeketsi Kali</w:t>
      </w:r>
      <w:r w:rsidR="00040536" w:rsidRPr="00B07705">
        <w:rPr>
          <w:rStyle w:val="FootnoteReference"/>
          <w:rFonts w:ascii="Tahoma" w:hAnsi="Tahoma" w:cs="Tahoma"/>
          <w:bCs/>
          <w:sz w:val="24"/>
          <w:szCs w:val="24"/>
        </w:rPr>
        <w:footnoteReference w:id="2"/>
      </w:r>
    </w:p>
    <w:p w14:paraId="698660A7" w14:textId="77777777" w:rsidR="00040536" w:rsidRPr="00716EE2" w:rsidRDefault="00040536" w:rsidP="00040536">
      <w:pPr>
        <w:pStyle w:val="ListParagraph"/>
        <w:widowControl/>
        <w:numPr>
          <w:ilvl w:val="0"/>
          <w:numId w:val="36"/>
        </w:numPr>
        <w:autoSpaceDE/>
        <w:autoSpaceDN/>
        <w:spacing w:after="160" w:line="360" w:lineRule="auto"/>
        <w:contextualSpacing/>
        <w:jc w:val="both"/>
        <w:rPr>
          <w:rFonts w:ascii="Tahoma" w:hAnsi="Tahoma" w:cs="Tahoma"/>
          <w:b/>
          <w:bCs/>
          <w:sz w:val="24"/>
          <w:szCs w:val="24"/>
        </w:rPr>
      </w:pPr>
      <w:r w:rsidRPr="00716EE2">
        <w:rPr>
          <w:rFonts w:ascii="Tahoma" w:hAnsi="Tahoma" w:cs="Tahoma"/>
          <w:b/>
          <w:bCs/>
          <w:sz w:val="24"/>
          <w:szCs w:val="24"/>
        </w:rPr>
        <w:t>Key Messages</w:t>
      </w:r>
      <w:bookmarkStart w:id="0" w:name="_GoBack"/>
      <w:bookmarkEnd w:id="0"/>
    </w:p>
    <w:p w14:paraId="6336E79E" w14:textId="77777777" w:rsidR="00040536" w:rsidRPr="00716EE2" w:rsidRDefault="00040536" w:rsidP="00040536">
      <w:pPr>
        <w:pStyle w:val="ListParagraph"/>
        <w:widowControl/>
        <w:numPr>
          <w:ilvl w:val="1"/>
          <w:numId w:val="36"/>
        </w:numPr>
        <w:autoSpaceDE/>
        <w:autoSpaceDN/>
        <w:spacing w:after="160" w:line="360" w:lineRule="auto"/>
        <w:contextualSpacing/>
        <w:jc w:val="both"/>
        <w:rPr>
          <w:rFonts w:ascii="Tahoma" w:hAnsi="Tahoma" w:cs="Tahoma"/>
          <w:sz w:val="24"/>
          <w:szCs w:val="24"/>
        </w:rPr>
      </w:pPr>
      <w:r w:rsidRPr="00716EE2">
        <w:rPr>
          <w:rFonts w:ascii="Tahoma" w:hAnsi="Tahoma" w:cs="Tahoma"/>
          <w:sz w:val="24"/>
          <w:szCs w:val="24"/>
        </w:rPr>
        <w:t>The 2019 African Union Transitional Justice Policy (AUTJP) is not well known in Lesotho, despite the country being one of the 55 Member States of the African Union (AU).</w:t>
      </w:r>
    </w:p>
    <w:p w14:paraId="4C608964" w14:textId="77777777" w:rsidR="00040536" w:rsidRPr="00716EE2" w:rsidRDefault="00040536" w:rsidP="00040536">
      <w:pPr>
        <w:pStyle w:val="ListParagraph"/>
        <w:widowControl/>
        <w:numPr>
          <w:ilvl w:val="1"/>
          <w:numId w:val="36"/>
        </w:numPr>
        <w:autoSpaceDE/>
        <w:autoSpaceDN/>
        <w:spacing w:after="160" w:line="360" w:lineRule="auto"/>
        <w:contextualSpacing/>
        <w:jc w:val="both"/>
        <w:rPr>
          <w:rFonts w:ascii="Tahoma" w:hAnsi="Tahoma" w:cs="Tahoma"/>
          <w:sz w:val="24"/>
          <w:szCs w:val="24"/>
        </w:rPr>
      </w:pPr>
      <w:r w:rsidRPr="00716EE2">
        <w:rPr>
          <w:rFonts w:ascii="Tahoma" w:hAnsi="Tahoma" w:cs="Tahoma"/>
          <w:sz w:val="24"/>
          <w:szCs w:val="24"/>
        </w:rPr>
        <w:t>Based on the AUTJP, in conformity with the 2022 decision of SADC Summit and in the context of the on-going comprehensive governance reforms, Lesotho has to institutionalise sturdy national infrastructures for peace and a robust transitional justice (TJ) architecture.</w:t>
      </w:r>
    </w:p>
    <w:p w14:paraId="2E8397DF" w14:textId="77777777" w:rsidR="00040536" w:rsidRPr="00716EE2" w:rsidRDefault="00040536" w:rsidP="00040536">
      <w:pPr>
        <w:pStyle w:val="ListParagraph"/>
        <w:widowControl/>
        <w:numPr>
          <w:ilvl w:val="1"/>
          <w:numId w:val="36"/>
        </w:numPr>
        <w:autoSpaceDE/>
        <w:autoSpaceDN/>
        <w:spacing w:after="160" w:line="360" w:lineRule="auto"/>
        <w:contextualSpacing/>
        <w:jc w:val="both"/>
        <w:rPr>
          <w:rFonts w:ascii="Tahoma" w:hAnsi="Tahoma" w:cs="Tahoma"/>
          <w:b/>
          <w:bCs/>
          <w:sz w:val="24"/>
          <w:szCs w:val="24"/>
        </w:rPr>
      </w:pPr>
      <w:r w:rsidRPr="00716EE2">
        <w:rPr>
          <w:rFonts w:ascii="Tahoma" w:hAnsi="Tahoma" w:cs="Tahoma"/>
          <w:sz w:val="24"/>
          <w:szCs w:val="24"/>
        </w:rPr>
        <w:t>To this end, Lesotho has to develop a national TJ policy a</w:t>
      </w:r>
      <w:r>
        <w:rPr>
          <w:rFonts w:ascii="Tahoma" w:hAnsi="Tahoma" w:cs="Tahoma"/>
          <w:sz w:val="24"/>
          <w:szCs w:val="24"/>
        </w:rPr>
        <w:t xml:space="preserve">ligned with </w:t>
      </w:r>
      <w:r w:rsidRPr="00716EE2">
        <w:rPr>
          <w:rFonts w:ascii="Tahoma" w:hAnsi="Tahoma" w:cs="Tahoma"/>
          <w:sz w:val="24"/>
          <w:szCs w:val="24"/>
        </w:rPr>
        <w:t>the AUTJP.</w:t>
      </w:r>
    </w:p>
    <w:p w14:paraId="096617FD" w14:textId="77777777" w:rsidR="00040536" w:rsidRPr="00716EE2" w:rsidRDefault="00040536" w:rsidP="00040536">
      <w:pPr>
        <w:pStyle w:val="ListParagraph"/>
        <w:spacing w:line="360" w:lineRule="auto"/>
        <w:ind w:left="1440"/>
        <w:jc w:val="both"/>
        <w:rPr>
          <w:rFonts w:ascii="Tahoma" w:hAnsi="Tahoma" w:cs="Tahoma"/>
          <w:b/>
          <w:bCs/>
          <w:sz w:val="24"/>
          <w:szCs w:val="24"/>
        </w:rPr>
      </w:pPr>
      <w:r w:rsidRPr="00716EE2">
        <w:rPr>
          <w:rFonts w:ascii="Tahoma" w:hAnsi="Tahoma" w:cs="Tahoma"/>
          <w:b/>
          <w:bCs/>
          <w:sz w:val="24"/>
          <w:szCs w:val="24"/>
        </w:rPr>
        <w:t xml:space="preserve">  </w:t>
      </w:r>
    </w:p>
    <w:p w14:paraId="2CB2ED73" w14:textId="77777777" w:rsidR="00040536" w:rsidRPr="00716EE2" w:rsidRDefault="00040536" w:rsidP="00040536">
      <w:pPr>
        <w:pStyle w:val="ListParagraph"/>
        <w:widowControl/>
        <w:numPr>
          <w:ilvl w:val="0"/>
          <w:numId w:val="36"/>
        </w:numPr>
        <w:autoSpaceDE/>
        <w:autoSpaceDN/>
        <w:spacing w:after="160" w:line="360" w:lineRule="auto"/>
        <w:contextualSpacing/>
        <w:jc w:val="both"/>
        <w:rPr>
          <w:rFonts w:ascii="Tahoma" w:hAnsi="Tahoma" w:cs="Tahoma"/>
          <w:b/>
          <w:bCs/>
          <w:sz w:val="24"/>
          <w:szCs w:val="24"/>
        </w:rPr>
      </w:pPr>
      <w:r w:rsidRPr="00716EE2">
        <w:rPr>
          <w:rFonts w:ascii="Tahoma" w:hAnsi="Tahoma" w:cs="Tahoma"/>
          <w:b/>
          <w:bCs/>
          <w:sz w:val="24"/>
          <w:szCs w:val="24"/>
        </w:rPr>
        <w:t>Introduction</w:t>
      </w:r>
    </w:p>
    <w:p w14:paraId="674C1284" w14:textId="7871DE4D" w:rsidR="00040536" w:rsidRPr="00716EE2" w:rsidRDefault="00040536" w:rsidP="00040536">
      <w:pPr>
        <w:spacing w:line="360" w:lineRule="auto"/>
        <w:jc w:val="both"/>
        <w:rPr>
          <w:rFonts w:ascii="Tahoma" w:hAnsi="Tahoma" w:cs="Tahoma"/>
          <w:bCs/>
          <w:sz w:val="24"/>
          <w:szCs w:val="24"/>
        </w:rPr>
      </w:pPr>
      <w:r w:rsidRPr="00716EE2">
        <w:rPr>
          <w:rFonts w:ascii="Tahoma" w:hAnsi="Tahoma" w:cs="Tahoma"/>
          <w:bCs/>
          <w:sz w:val="24"/>
          <w:szCs w:val="24"/>
        </w:rPr>
        <w:t>Lesotho society is marked by an entrenched culture of violence whose roots are traceable to authoritarian governance of both civilian (1970-1986) and military (1986-1992) varieties. Authoritarian rule inflicted massive human rights violations whose scars still remain visible on the country’s social fabric despite the transition to multi-party and constitutional democracy in 1993. The current democratic governance dispensation (1993-2025</w:t>
      </w:r>
      <w:r>
        <w:rPr>
          <w:rFonts w:ascii="Tahoma" w:hAnsi="Tahoma" w:cs="Tahoma"/>
          <w:bCs/>
          <w:sz w:val="24"/>
          <w:szCs w:val="24"/>
        </w:rPr>
        <w:t>)</w:t>
      </w:r>
      <w:r w:rsidRPr="00716EE2">
        <w:rPr>
          <w:rFonts w:ascii="Tahoma" w:hAnsi="Tahoma" w:cs="Tahoma"/>
          <w:bCs/>
          <w:sz w:val="24"/>
          <w:szCs w:val="24"/>
        </w:rPr>
        <w:t xml:space="preserve"> has not redressed the challenge of an embedded culture of violence and protracted conflicts wherein human rights are trampled underfoot (Kapa, 2017; Matlosa, 2020; Kali</w:t>
      </w:r>
      <w:r w:rsidR="00A55040">
        <w:rPr>
          <w:rFonts w:ascii="Tahoma" w:hAnsi="Tahoma" w:cs="Tahoma"/>
          <w:bCs/>
          <w:sz w:val="24"/>
          <w:szCs w:val="24"/>
        </w:rPr>
        <w:t>,</w:t>
      </w:r>
      <w:r w:rsidRPr="00716EE2">
        <w:rPr>
          <w:rFonts w:ascii="Tahoma" w:hAnsi="Tahoma" w:cs="Tahoma"/>
          <w:bCs/>
          <w:sz w:val="24"/>
          <w:szCs w:val="24"/>
        </w:rPr>
        <w:t xml:space="preserve"> 2022). </w:t>
      </w:r>
    </w:p>
    <w:p w14:paraId="3479AD54" w14:textId="77777777" w:rsidR="00040536" w:rsidRDefault="00040536" w:rsidP="00040536">
      <w:pPr>
        <w:spacing w:line="360" w:lineRule="auto"/>
        <w:jc w:val="both"/>
        <w:rPr>
          <w:rFonts w:ascii="Tahoma" w:hAnsi="Tahoma" w:cs="Tahoma"/>
          <w:bCs/>
          <w:sz w:val="24"/>
          <w:szCs w:val="24"/>
        </w:rPr>
      </w:pPr>
    </w:p>
    <w:p w14:paraId="6C6F4591" w14:textId="60458775" w:rsidR="00040536" w:rsidRPr="00716EE2" w:rsidRDefault="00040536" w:rsidP="00040536">
      <w:pPr>
        <w:spacing w:line="360" w:lineRule="auto"/>
        <w:jc w:val="both"/>
        <w:rPr>
          <w:rFonts w:ascii="Tahoma" w:hAnsi="Tahoma" w:cs="Tahoma"/>
          <w:bCs/>
          <w:sz w:val="24"/>
          <w:szCs w:val="24"/>
        </w:rPr>
      </w:pPr>
      <w:r w:rsidRPr="00716EE2">
        <w:rPr>
          <w:rFonts w:ascii="Tahoma" w:hAnsi="Tahoma" w:cs="Tahoma"/>
          <w:bCs/>
          <w:sz w:val="24"/>
          <w:szCs w:val="24"/>
        </w:rPr>
        <w:t>Given that Lesotho is one of the 55 member states of the African Union (AU), it has to draw from the 2019 Africa Union Transitional Justice Policy to put in place strong national infrastructures for peace</w:t>
      </w:r>
      <w:r>
        <w:rPr>
          <w:rFonts w:ascii="Tahoma" w:hAnsi="Tahoma" w:cs="Tahoma"/>
          <w:bCs/>
          <w:sz w:val="24"/>
          <w:szCs w:val="24"/>
        </w:rPr>
        <w:t xml:space="preserve"> (I4Ps)</w:t>
      </w:r>
      <w:r w:rsidRPr="00716EE2">
        <w:rPr>
          <w:rFonts w:ascii="Tahoma" w:hAnsi="Tahoma" w:cs="Tahoma"/>
          <w:bCs/>
          <w:sz w:val="24"/>
          <w:szCs w:val="24"/>
        </w:rPr>
        <w:t xml:space="preserve"> and </w:t>
      </w:r>
      <w:r>
        <w:rPr>
          <w:rFonts w:ascii="Tahoma" w:hAnsi="Tahoma" w:cs="Tahoma"/>
          <w:bCs/>
          <w:sz w:val="24"/>
          <w:szCs w:val="24"/>
        </w:rPr>
        <w:t xml:space="preserve">a </w:t>
      </w:r>
      <w:r w:rsidRPr="00716EE2">
        <w:rPr>
          <w:rFonts w:ascii="Tahoma" w:hAnsi="Tahoma" w:cs="Tahoma"/>
          <w:bCs/>
          <w:sz w:val="24"/>
          <w:szCs w:val="24"/>
        </w:rPr>
        <w:t>robust TJ architecture</w:t>
      </w:r>
      <w:r>
        <w:rPr>
          <w:rFonts w:ascii="Tahoma" w:hAnsi="Tahoma" w:cs="Tahoma"/>
          <w:bCs/>
          <w:sz w:val="24"/>
          <w:szCs w:val="24"/>
        </w:rPr>
        <w:t xml:space="preserve"> (Matlosa, 202</w:t>
      </w:r>
      <w:r w:rsidR="00B74824">
        <w:rPr>
          <w:rFonts w:ascii="Tahoma" w:hAnsi="Tahoma" w:cs="Tahoma"/>
          <w:bCs/>
          <w:sz w:val="24"/>
          <w:szCs w:val="24"/>
        </w:rPr>
        <w:t>4</w:t>
      </w:r>
      <w:r>
        <w:rPr>
          <w:rFonts w:ascii="Tahoma" w:hAnsi="Tahoma" w:cs="Tahoma"/>
          <w:bCs/>
          <w:sz w:val="24"/>
          <w:szCs w:val="24"/>
        </w:rPr>
        <w:t>)</w:t>
      </w:r>
      <w:r w:rsidRPr="00716EE2">
        <w:rPr>
          <w:rFonts w:ascii="Tahoma" w:hAnsi="Tahoma" w:cs="Tahoma"/>
          <w:bCs/>
          <w:sz w:val="24"/>
          <w:szCs w:val="24"/>
        </w:rPr>
        <w:t xml:space="preserve">. The analysis in this policy brief draws from desk research, empirical research and public consultations undertaken by </w:t>
      </w:r>
      <w:r>
        <w:rPr>
          <w:rFonts w:ascii="Tahoma" w:hAnsi="Tahoma" w:cs="Tahoma"/>
          <w:bCs/>
          <w:sz w:val="24"/>
          <w:szCs w:val="24"/>
        </w:rPr>
        <w:t xml:space="preserve">the </w:t>
      </w:r>
      <w:r w:rsidRPr="00716EE2">
        <w:rPr>
          <w:rFonts w:ascii="Tahoma" w:hAnsi="Tahoma" w:cs="Tahoma"/>
          <w:bCs/>
          <w:sz w:val="24"/>
          <w:szCs w:val="24"/>
        </w:rPr>
        <w:t xml:space="preserve">Lesotho Council of Non-Governmental Organisations </w:t>
      </w:r>
      <w:r>
        <w:rPr>
          <w:rFonts w:ascii="Tahoma" w:hAnsi="Tahoma" w:cs="Tahoma"/>
          <w:bCs/>
          <w:sz w:val="24"/>
          <w:szCs w:val="24"/>
        </w:rPr>
        <w:t xml:space="preserve">(LCN) </w:t>
      </w:r>
      <w:r w:rsidRPr="00716EE2">
        <w:rPr>
          <w:rFonts w:ascii="Tahoma" w:hAnsi="Tahoma" w:cs="Tahoma"/>
          <w:bCs/>
          <w:sz w:val="24"/>
          <w:szCs w:val="24"/>
        </w:rPr>
        <w:t xml:space="preserve">and Strategic Institute for Research and Dialogue </w:t>
      </w:r>
      <w:r>
        <w:rPr>
          <w:rFonts w:ascii="Tahoma" w:hAnsi="Tahoma" w:cs="Tahoma"/>
          <w:bCs/>
          <w:sz w:val="24"/>
          <w:szCs w:val="24"/>
        </w:rPr>
        <w:t xml:space="preserve">(SIRD) </w:t>
      </w:r>
      <w:r w:rsidRPr="00716EE2">
        <w:rPr>
          <w:rFonts w:ascii="Tahoma" w:hAnsi="Tahoma" w:cs="Tahoma"/>
          <w:bCs/>
          <w:sz w:val="24"/>
          <w:szCs w:val="24"/>
        </w:rPr>
        <w:t>between November 2024 and March 2025 supported by the Africa Transitional Justice Legacy Fund (ATJLF) with financial supported from the European Union (EU) and African Union (AU). This project entailed community consultations across all the 10 districts</w:t>
      </w:r>
      <w:r>
        <w:rPr>
          <w:rStyle w:val="FootnoteReference"/>
          <w:rFonts w:ascii="Tahoma" w:hAnsi="Tahoma" w:cs="Tahoma"/>
          <w:bCs/>
          <w:sz w:val="24"/>
          <w:szCs w:val="24"/>
        </w:rPr>
        <w:footnoteReference w:id="3"/>
      </w:r>
      <w:r w:rsidRPr="00716EE2">
        <w:rPr>
          <w:rFonts w:ascii="Tahoma" w:hAnsi="Tahoma" w:cs="Tahoma"/>
          <w:bCs/>
          <w:sz w:val="24"/>
          <w:szCs w:val="24"/>
        </w:rPr>
        <w:t xml:space="preserve"> of Lesotho and administration of a questionnaire to a 43 purposively selected experts</w:t>
      </w:r>
      <w:r>
        <w:rPr>
          <w:rStyle w:val="FootnoteReference"/>
          <w:rFonts w:ascii="Tahoma" w:hAnsi="Tahoma" w:cs="Tahoma"/>
          <w:bCs/>
          <w:sz w:val="24"/>
          <w:szCs w:val="24"/>
        </w:rPr>
        <w:footnoteReference w:id="4"/>
      </w:r>
      <w:r w:rsidRPr="00716EE2">
        <w:rPr>
          <w:rFonts w:ascii="Tahoma" w:hAnsi="Tahoma" w:cs="Tahoma"/>
          <w:bCs/>
          <w:sz w:val="24"/>
          <w:szCs w:val="24"/>
        </w:rPr>
        <w:t xml:space="preserve">. </w:t>
      </w:r>
    </w:p>
    <w:p w14:paraId="03CCAFEF" w14:textId="77777777" w:rsidR="00040536" w:rsidRPr="00716EE2" w:rsidRDefault="00040536" w:rsidP="00040536">
      <w:pPr>
        <w:pStyle w:val="ListParagraph"/>
        <w:widowControl/>
        <w:numPr>
          <w:ilvl w:val="0"/>
          <w:numId w:val="36"/>
        </w:numPr>
        <w:autoSpaceDE/>
        <w:autoSpaceDN/>
        <w:spacing w:after="160" w:line="360" w:lineRule="auto"/>
        <w:contextualSpacing/>
        <w:jc w:val="both"/>
        <w:rPr>
          <w:rFonts w:ascii="Tahoma" w:hAnsi="Tahoma" w:cs="Tahoma"/>
          <w:b/>
          <w:bCs/>
          <w:sz w:val="24"/>
          <w:szCs w:val="24"/>
        </w:rPr>
      </w:pPr>
      <w:r w:rsidRPr="00716EE2">
        <w:rPr>
          <w:rFonts w:ascii="Tahoma" w:hAnsi="Tahoma" w:cs="Tahoma"/>
          <w:b/>
          <w:bCs/>
          <w:sz w:val="24"/>
          <w:szCs w:val="24"/>
        </w:rPr>
        <w:t>Critique of the policy environment</w:t>
      </w:r>
    </w:p>
    <w:p w14:paraId="5E8618CC" w14:textId="20413FD7" w:rsidR="00040536" w:rsidRDefault="00057B6D" w:rsidP="00040536">
      <w:pPr>
        <w:spacing w:line="360" w:lineRule="auto"/>
        <w:jc w:val="both"/>
        <w:rPr>
          <w:rFonts w:ascii="Tahoma" w:hAnsi="Tahoma" w:cs="Tahoma"/>
          <w:sz w:val="24"/>
          <w:szCs w:val="24"/>
        </w:rPr>
      </w:pPr>
      <w:r w:rsidRPr="00057B6D">
        <w:rPr>
          <w:rFonts w:ascii="Tahoma" w:hAnsi="Tahoma" w:cs="Tahoma"/>
          <w:noProof/>
          <w:sz w:val="24"/>
          <w:szCs w:val="24"/>
          <w:lang w:val="en-GB" w:eastAsia="en-GB"/>
        </w:rPr>
        <w:lastRenderedPageBreak/>
        <mc:AlternateContent>
          <mc:Choice Requires="wps">
            <w:drawing>
              <wp:anchor distT="45720" distB="45720" distL="114300" distR="114300" simplePos="0" relativeHeight="251659264" behindDoc="0" locked="0" layoutInCell="1" allowOverlap="1" wp14:anchorId="32107B24" wp14:editId="642694EC">
                <wp:simplePos x="0" y="0"/>
                <wp:positionH relativeFrom="page">
                  <wp:align>right</wp:align>
                </wp:positionH>
                <wp:positionV relativeFrom="paragraph">
                  <wp:posOffset>362585</wp:posOffset>
                </wp:positionV>
                <wp:extent cx="4895850" cy="365760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5850" cy="3657600"/>
                        </a:xfrm>
                        <a:prstGeom prst="rect">
                          <a:avLst/>
                        </a:prstGeom>
                        <a:noFill/>
                        <a:ln w="9525">
                          <a:noFill/>
                          <a:miter lim="800000"/>
                          <a:headEnd/>
                          <a:tailEnd/>
                        </a:ln>
                      </wps:spPr>
                      <wps:txbx>
                        <w:txbxContent>
                          <w:p w14:paraId="583EDFF8" w14:textId="601FAA30" w:rsidR="00057B6D" w:rsidRDefault="00057B6D" w:rsidP="00057B6D">
                            <w:r w:rsidRPr="00057B6D">
                              <w:rPr>
                                <w:b/>
                                <w:bCs/>
                              </w:rPr>
                              <w:t>Table 1: Historical Trajectory of the Culture of Violence in Lesotho</w:t>
                            </w:r>
                          </w:p>
                          <w:tbl>
                            <w:tblPr>
                              <w:tblStyle w:val="TableGrid"/>
                              <w:tblW w:w="7066" w:type="dxa"/>
                              <w:tblLook w:val="04A0" w:firstRow="1" w:lastRow="0" w:firstColumn="1" w:lastColumn="0" w:noHBand="0" w:noVBand="1"/>
                            </w:tblPr>
                            <w:tblGrid>
                              <w:gridCol w:w="1135"/>
                              <w:gridCol w:w="2070"/>
                              <w:gridCol w:w="1830"/>
                              <w:gridCol w:w="2031"/>
                            </w:tblGrid>
                            <w:tr w:rsidR="00057B6D" w:rsidRPr="00057B6D" w14:paraId="2E2FF327" w14:textId="77777777" w:rsidTr="00057B6D">
                              <w:trPr>
                                <w:trHeight w:val="1232"/>
                              </w:trPr>
                              <w:tc>
                                <w:tcPr>
                                  <w:tcW w:w="1135" w:type="dxa"/>
                                  <w:shd w:val="clear" w:color="auto" w:fill="CCCCCC" w:themeFill="text2" w:themeFillTint="33"/>
                                </w:tcPr>
                                <w:p w14:paraId="25C49F2B" w14:textId="77777777" w:rsidR="00057B6D" w:rsidRPr="00057B6D" w:rsidRDefault="00057B6D" w:rsidP="00057B6D">
                                  <w:pPr>
                                    <w:widowControl w:val="0"/>
                                    <w:autoSpaceDE w:val="0"/>
                                    <w:autoSpaceDN w:val="0"/>
                                    <w:rPr>
                                      <w:b/>
                                      <w:bCs/>
                                    </w:rPr>
                                  </w:pPr>
                                  <w:r w:rsidRPr="00057B6D">
                                    <w:rPr>
                                      <w:b/>
                                      <w:bCs/>
                                    </w:rPr>
                                    <w:t>Period</w:t>
                                  </w:r>
                                </w:p>
                              </w:tc>
                              <w:tc>
                                <w:tcPr>
                                  <w:tcW w:w="2070" w:type="dxa"/>
                                  <w:shd w:val="clear" w:color="auto" w:fill="CCCCCC" w:themeFill="text2" w:themeFillTint="33"/>
                                </w:tcPr>
                                <w:p w14:paraId="031AFA89" w14:textId="77777777" w:rsidR="00057B6D" w:rsidRPr="00057B6D" w:rsidRDefault="00057B6D" w:rsidP="00057B6D">
                                  <w:pPr>
                                    <w:widowControl w:val="0"/>
                                    <w:autoSpaceDE w:val="0"/>
                                    <w:autoSpaceDN w:val="0"/>
                                    <w:rPr>
                                      <w:b/>
                                      <w:bCs/>
                                    </w:rPr>
                                  </w:pPr>
                                  <w:r w:rsidRPr="00057B6D">
                                    <w:rPr>
                                      <w:b/>
                                      <w:bCs/>
                                    </w:rPr>
                                    <w:t>Governance Type</w:t>
                                  </w:r>
                                </w:p>
                              </w:tc>
                              <w:tc>
                                <w:tcPr>
                                  <w:tcW w:w="1830" w:type="dxa"/>
                                  <w:shd w:val="clear" w:color="auto" w:fill="CCCCCC" w:themeFill="text2" w:themeFillTint="33"/>
                                </w:tcPr>
                                <w:p w14:paraId="3D0A0471" w14:textId="77777777" w:rsidR="00057B6D" w:rsidRPr="00057B6D" w:rsidRDefault="00057B6D" w:rsidP="00057B6D">
                                  <w:pPr>
                                    <w:widowControl w:val="0"/>
                                    <w:autoSpaceDE w:val="0"/>
                                    <w:autoSpaceDN w:val="0"/>
                                    <w:rPr>
                                      <w:b/>
                                      <w:bCs/>
                                    </w:rPr>
                                  </w:pPr>
                                  <w:r w:rsidRPr="00057B6D">
                                    <w:rPr>
                                      <w:b/>
                                      <w:bCs/>
                                    </w:rPr>
                                    <w:t>Regime Type</w:t>
                                  </w:r>
                                </w:p>
                              </w:tc>
                              <w:tc>
                                <w:tcPr>
                                  <w:tcW w:w="2031" w:type="dxa"/>
                                  <w:shd w:val="clear" w:color="auto" w:fill="CCCCCC" w:themeFill="text2" w:themeFillTint="33"/>
                                </w:tcPr>
                                <w:p w14:paraId="44593AC2" w14:textId="77777777" w:rsidR="00057B6D" w:rsidRPr="00057B6D" w:rsidRDefault="00057B6D" w:rsidP="00057B6D">
                                  <w:pPr>
                                    <w:widowControl w:val="0"/>
                                    <w:autoSpaceDE w:val="0"/>
                                    <w:autoSpaceDN w:val="0"/>
                                    <w:rPr>
                                      <w:b/>
                                      <w:bCs/>
                                    </w:rPr>
                                  </w:pPr>
                                  <w:r w:rsidRPr="00057B6D">
                                    <w:rPr>
                                      <w:b/>
                                      <w:bCs/>
                                    </w:rPr>
                                    <w:t>Magnitude of Violence &amp; Human Rights Violations</w:t>
                                  </w:r>
                                </w:p>
                              </w:tc>
                            </w:tr>
                            <w:tr w:rsidR="00057B6D" w:rsidRPr="00057B6D" w14:paraId="28D02D0C" w14:textId="77777777" w:rsidTr="00057B6D">
                              <w:trPr>
                                <w:trHeight w:val="606"/>
                              </w:trPr>
                              <w:tc>
                                <w:tcPr>
                                  <w:tcW w:w="1135" w:type="dxa"/>
                                  <w:shd w:val="clear" w:color="auto" w:fill="FF0066"/>
                                </w:tcPr>
                                <w:p w14:paraId="008FEE5F" w14:textId="77777777" w:rsidR="00057B6D" w:rsidRPr="00057B6D" w:rsidRDefault="00057B6D" w:rsidP="00057B6D">
                                  <w:pPr>
                                    <w:widowControl w:val="0"/>
                                    <w:autoSpaceDE w:val="0"/>
                                    <w:autoSpaceDN w:val="0"/>
                                  </w:pPr>
                                  <w:r w:rsidRPr="00057B6D">
                                    <w:t>1966-1970</w:t>
                                  </w:r>
                                </w:p>
                              </w:tc>
                              <w:tc>
                                <w:tcPr>
                                  <w:tcW w:w="2070" w:type="dxa"/>
                                  <w:shd w:val="clear" w:color="auto" w:fill="FF0066"/>
                                </w:tcPr>
                                <w:p w14:paraId="2CB865C4" w14:textId="77777777" w:rsidR="00057B6D" w:rsidRPr="00057B6D" w:rsidRDefault="00057B6D" w:rsidP="00057B6D">
                                  <w:pPr>
                                    <w:widowControl w:val="0"/>
                                    <w:autoSpaceDE w:val="0"/>
                                    <w:autoSpaceDN w:val="0"/>
                                  </w:pPr>
                                  <w:r w:rsidRPr="00057B6D">
                                    <w:t>Embryonic Multiparty</w:t>
                                  </w:r>
                                </w:p>
                              </w:tc>
                              <w:tc>
                                <w:tcPr>
                                  <w:tcW w:w="1830" w:type="dxa"/>
                                  <w:shd w:val="clear" w:color="auto" w:fill="FF0066"/>
                                </w:tcPr>
                                <w:p w14:paraId="3924CCF9" w14:textId="77777777" w:rsidR="00057B6D" w:rsidRPr="00057B6D" w:rsidRDefault="00057B6D" w:rsidP="00057B6D">
                                  <w:pPr>
                                    <w:widowControl w:val="0"/>
                                    <w:autoSpaceDE w:val="0"/>
                                    <w:autoSpaceDN w:val="0"/>
                                  </w:pPr>
                                  <w:r w:rsidRPr="00057B6D">
                                    <w:t>Democratic</w:t>
                                  </w:r>
                                </w:p>
                              </w:tc>
                              <w:tc>
                                <w:tcPr>
                                  <w:tcW w:w="2031" w:type="dxa"/>
                                  <w:shd w:val="clear" w:color="auto" w:fill="FF0066"/>
                                </w:tcPr>
                                <w:p w14:paraId="53D83759" w14:textId="77777777" w:rsidR="00057B6D" w:rsidRPr="00057B6D" w:rsidRDefault="00057B6D" w:rsidP="00057B6D">
                                  <w:pPr>
                                    <w:widowControl w:val="0"/>
                                    <w:autoSpaceDE w:val="0"/>
                                    <w:autoSpaceDN w:val="0"/>
                                  </w:pPr>
                                  <w:r w:rsidRPr="00057B6D">
                                    <w:t>Covert &amp; Sporadic</w:t>
                                  </w:r>
                                  <w:r w:rsidRPr="00057B6D">
                                    <w:rPr>
                                      <w:vertAlign w:val="superscript"/>
                                    </w:rPr>
                                    <w:footnoteRef/>
                                  </w:r>
                                </w:p>
                              </w:tc>
                            </w:tr>
                            <w:tr w:rsidR="00057B6D" w:rsidRPr="00057B6D" w14:paraId="1BACC567" w14:textId="77777777" w:rsidTr="00057B6D">
                              <w:trPr>
                                <w:trHeight w:val="625"/>
                              </w:trPr>
                              <w:tc>
                                <w:tcPr>
                                  <w:tcW w:w="1135" w:type="dxa"/>
                                  <w:shd w:val="clear" w:color="auto" w:fill="E0E0E0" w:themeFill="accent2" w:themeFillTint="66"/>
                                </w:tcPr>
                                <w:p w14:paraId="555CE56C" w14:textId="77777777" w:rsidR="00057B6D" w:rsidRPr="00057B6D" w:rsidRDefault="00057B6D" w:rsidP="00057B6D">
                                  <w:pPr>
                                    <w:widowControl w:val="0"/>
                                    <w:autoSpaceDE w:val="0"/>
                                    <w:autoSpaceDN w:val="0"/>
                                  </w:pPr>
                                  <w:r w:rsidRPr="00057B6D">
                                    <w:t>1971-1985</w:t>
                                  </w:r>
                                </w:p>
                              </w:tc>
                              <w:tc>
                                <w:tcPr>
                                  <w:tcW w:w="2070" w:type="dxa"/>
                                  <w:shd w:val="clear" w:color="auto" w:fill="E0E0E0" w:themeFill="accent2" w:themeFillTint="66"/>
                                </w:tcPr>
                                <w:p w14:paraId="67DA45AF" w14:textId="77777777" w:rsidR="00057B6D" w:rsidRPr="00057B6D" w:rsidRDefault="00057B6D" w:rsidP="00057B6D">
                                  <w:pPr>
                                    <w:widowControl w:val="0"/>
                                    <w:autoSpaceDE w:val="0"/>
                                    <w:autoSpaceDN w:val="0"/>
                                  </w:pPr>
                                  <w:r w:rsidRPr="00057B6D">
                                    <w:t>One party</w:t>
                                  </w:r>
                                </w:p>
                              </w:tc>
                              <w:tc>
                                <w:tcPr>
                                  <w:tcW w:w="1830" w:type="dxa"/>
                                  <w:shd w:val="clear" w:color="auto" w:fill="E0E0E0" w:themeFill="accent2" w:themeFillTint="66"/>
                                </w:tcPr>
                                <w:p w14:paraId="3BB04887" w14:textId="77777777" w:rsidR="00057B6D" w:rsidRPr="00057B6D" w:rsidRDefault="00057B6D" w:rsidP="00057B6D">
                                  <w:pPr>
                                    <w:widowControl w:val="0"/>
                                    <w:autoSpaceDE w:val="0"/>
                                    <w:autoSpaceDN w:val="0"/>
                                  </w:pPr>
                                  <w:r w:rsidRPr="00057B6D">
                                    <w:t>Authoritarian</w:t>
                                  </w:r>
                                </w:p>
                              </w:tc>
                              <w:tc>
                                <w:tcPr>
                                  <w:tcW w:w="2031" w:type="dxa"/>
                                  <w:shd w:val="clear" w:color="auto" w:fill="E0E0E0" w:themeFill="accent2" w:themeFillTint="66"/>
                                </w:tcPr>
                                <w:p w14:paraId="74DB49D7" w14:textId="77777777" w:rsidR="00057B6D" w:rsidRPr="00057B6D" w:rsidRDefault="00057B6D" w:rsidP="00057B6D">
                                  <w:pPr>
                                    <w:widowControl w:val="0"/>
                                    <w:autoSpaceDE w:val="0"/>
                                    <w:autoSpaceDN w:val="0"/>
                                  </w:pPr>
                                  <w:r w:rsidRPr="00057B6D">
                                    <w:t>Overt and Generalised</w:t>
                                  </w:r>
                                  <w:r w:rsidRPr="00057B6D">
                                    <w:rPr>
                                      <w:vertAlign w:val="superscript"/>
                                    </w:rPr>
                                    <w:footnoteRef/>
                                  </w:r>
                                </w:p>
                              </w:tc>
                            </w:tr>
                            <w:tr w:rsidR="00057B6D" w:rsidRPr="00057B6D" w14:paraId="23C44C68" w14:textId="77777777" w:rsidTr="00057B6D">
                              <w:trPr>
                                <w:trHeight w:val="606"/>
                              </w:trPr>
                              <w:tc>
                                <w:tcPr>
                                  <w:tcW w:w="1135" w:type="dxa"/>
                                  <w:shd w:val="clear" w:color="auto" w:fill="E0E0E0" w:themeFill="accent2" w:themeFillTint="66"/>
                                </w:tcPr>
                                <w:p w14:paraId="4E1DC37A" w14:textId="77777777" w:rsidR="00057B6D" w:rsidRPr="00057B6D" w:rsidRDefault="00057B6D" w:rsidP="00057B6D">
                                  <w:pPr>
                                    <w:widowControl w:val="0"/>
                                    <w:autoSpaceDE w:val="0"/>
                                    <w:autoSpaceDN w:val="0"/>
                                  </w:pPr>
                                  <w:r w:rsidRPr="00057B6D">
                                    <w:t>1986-1992</w:t>
                                  </w:r>
                                </w:p>
                              </w:tc>
                              <w:tc>
                                <w:tcPr>
                                  <w:tcW w:w="2070" w:type="dxa"/>
                                  <w:shd w:val="clear" w:color="auto" w:fill="E0E0E0" w:themeFill="accent2" w:themeFillTint="66"/>
                                </w:tcPr>
                                <w:p w14:paraId="66E10EF6" w14:textId="77777777" w:rsidR="00057B6D" w:rsidRPr="00057B6D" w:rsidRDefault="00057B6D" w:rsidP="00057B6D">
                                  <w:pPr>
                                    <w:widowControl w:val="0"/>
                                    <w:autoSpaceDE w:val="0"/>
                                    <w:autoSpaceDN w:val="0"/>
                                  </w:pPr>
                                  <w:r w:rsidRPr="00057B6D">
                                    <w:t>Military</w:t>
                                  </w:r>
                                </w:p>
                              </w:tc>
                              <w:tc>
                                <w:tcPr>
                                  <w:tcW w:w="1830" w:type="dxa"/>
                                  <w:shd w:val="clear" w:color="auto" w:fill="E0E0E0" w:themeFill="accent2" w:themeFillTint="66"/>
                                </w:tcPr>
                                <w:p w14:paraId="6307E5EE" w14:textId="77777777" w:rsidR="00057B6D" w:rsidRPr="00057B6D" w:rsidRDefault="00057B6D" w:rsidP="00057B6D">
                                  <w:pPr>
                                    <w:widowControl w:val="0"/>
                                    <w:autoSpaceDE w:val="0"/>
                                    <w:autoSpaceDN w:val="0"/>
                                  </w:pPr>
                                  <w:r w:rsidRPr="00057B6D">
                                    <w:t>Authoritarian</w:t>
                                  </w:r>
                                </w:p>
                              </w:tc>
                              <w:tc>
                                <w:tcPr>
                                  <w:tcW w:w="2031" w:type="dxa"/>
                                  <w:shd w:val="clear" w:color="auto" w:fill="E0E0E0" w:themeFill="accent2" w:themeFillTint="66"/>
                                </w:tcPr>
                                <w:p w14:paraId="410CD140" w14:textId="77777777" w:rsidR="00057B6D" w:rsidRPr="00057B6D" w:rsidRDefault="00057B6D" w:rsidP="00057B6D">
                                  <w:pPr>
                                    <w:widowControl w:val="0"/>
                                    <w:autoSpaceDE w:val="0"/>
                                    <w:autoSpaceDN w:val="0"/>
                                  </w:pPr>
                                  <w:r w:rsidRPr="00057B6D">
                                    <w:t>Overt and Generalised</w:t>
                                  </w:r>
                                </w:p>
                              </w:tc>
                            </w:tr>
                            <w:tr w:rsidR="00057B6D" w:rsidRPr="00057B6D" w14:paraId="3B9C4661" w14:textId="77777777" w:rsidTr="00057B6D">
                              <w:trPr>
                                <w:trHeight w:val="625"/>
                              </w:trPr>
                              <w:tc>
                                <w:tcPr>
                                  <w:tcW w:w="1135" w:type="dxa"/>
                                  <w:shd w:val="clear" w:color="auto" w:fill="6DE5AC"/>
                                </w:tcPr>
                                <w:p w14:paraId="3CB4088C" w14:textId="77777777" w:rsidR="00057B6D" w:rsidRPr="00057B6D" w:rsidRDefault="00057B6D" w:rsidP="00057B6D">
                                  <w:pPr>
                                    <w:widowControl w:val="0"/>
                                    <w:autoSpaceDE w:val="0"/>
                                    <w:autoSpaceDN w:val="0"/>
                                  </w:pPr>
                                  <w:r w:rsidRPr="00057B6D">
                                    <w:t>1993-2001</w:t>
                                  </w:r>
                                </w:p>
                              </w:tc>
                              <w:tc>
                                <w:tcPr>
                                  <w:tcW w:w="2070" w:type="dxa"/>
                                  <w:shd w:val="clear" w:color="auto" w:fill="6DE5AC"/>
                                </w:tcPr>
                                <w:p w14:paraId="61B8C9BC" w14:textId="77777777" w:rsidR="00057B6D" w:rsidRPr="00057B6D" w:rsidRDefault="00057B6D" w:rsidP="00057B6D">
                                  <w:pPr>
                                    <w:widowControl w:val="0"/>
                                    <w:autoSpaceDE w:val="0"/>
                                    <w:autoSpaceDN w:val="0"/>
                                  </w:pPr>
                                  <w:r w:rsidRPr="00057B6D">
                                    <w:t>Dominant party</w:t>
                                  </w:r>
                                </w:p>
                              </w:tc>
                              <w:tc>
                                <w:tcPr>
                                  <w:tcW w:w="1830" w:type="dxa"/>
                                  <w:shd w:val="clear" w:color="auto" w:fill="6DE5AC"/>
                                </w:tcPr>
                                <w:p w14:paraId="09201A33" w14:textId="77777777" w:rsidR="00057B6D" w:rsidRPr="00057B6D" w:rsidRDefault="00057B6D" w:rsidP="00057B6D">
                                  <w:pPr>
                                    <w:widowControl w:val="0"/>
                                    <w:autoSpaceDE w:val="0"/>
                                    <w:autoSpaceDN w:val="0"/>
                                  </w:pPr>
                                  <w:r w:rsidRPr="00057B6D">
                                    <w:t>Democratic</w:t>
                                  </w:r>
                                </w:p>
                              </w:tc>
                              <w:tc>
                                <w:tcPr>
                                  <w:tcW w:w="2031" w:type="dxa"/>
                                  <w:shd w:val="clear" w:color="auto" w:fill="6DE5AC"/>
                                </w:tcPr>
                                <w:p w14:paraId="2F99D565" w14:textId="77777777" w:rsidR="00057B6D" w:rsidRPr="00057B6D" w:rsidRDefault="00057B6D" w:rsidP="00057B6D">
                                  <w:pPr>
                                    <w:widowControl w:val="0"/>
                                    <w:autoSpaceDE w:val="0"/>
                                    <w:autoSpaceDN w:val="0"/>
                                  </w:pPr>
                                  <w:r w:rsidRPr="00057B6D">
                                    <w:t>Covert and Sporadic</w:t>
                                  </w:r>
                                </w:p>
                              </w:tc>
                            </w:tr>
                            <w:tr w:rsidR="00057B6D" w:rsidRPr="00057B6D" w14:paraId="18CFA9D3" w14:textId="77777777" w:rsidTr="00057B6D">
                              <w:trPr>
                                <w:trHeight w:val="606"/>
                              </w:trPr>
                              <w:tc>
                                <w:tcPr>
                                  <w:tcW w:w="1135" w:type="dxa"/>
                                  <w:shd w:val="clear" w:color="auto" w:fill="6DE5AC"/>
                                </w:tcPr>
                                <w:p w14:paraId="7544C409" w14:textId="77777777" w:rsidR="00057B6D" w:rsidRPr="00057B6D" w:rsidRDefault="00057B6D" w:rsidP="00057B6D">
                                  <w:pPr>
                                    <w:widowControl w:val="0"/>
                                    <w:autoSpaceDE w:val="0"/>
                                    <w:autoSpaceDN w:val="0"/>
                                  </w:pPr>
                                  <w:r w:rsidRPr="00057B6D">
                                    <w:t>2002-2011</w:t>
                                  </w:r>
                                </w:p>
                              </w:tc>
                              <w:tc>
                                <w:tcPr>
                                  <w:tcW w:w="2070" w:type="dxa"/>
                                  <w:shd w:val="clear" w:color="auto" w:fill="6DE5AC"/>
                                </w:tcPr>
                                <w:p w14:paraId="6A219470" w14:textId="77777777" w:rsidR="00057B6D" w:rsidRPr="00057B6D" w:rsidRDefault="00057B6D" w:rsidP="00057B6D">
                                  <w:pPr>
                                    <w:widowControl w:val="0"/>
                                    <w:autoSpaceDE w:val="0"/>
                                    <w:autoSpaceDN w:val="0"/>
                                  </w:pPr>
                                  <w:r w:rsidRPr="00057B6D">
                                    <w:t>Dominant party</w:t>
                                  </w:r>
                                </w:p>
                              </w:tc>
                              <w:tc>
                                <w:tcPr>
                                  <w:tcW w:w="1830" w:type="dxa"/>
                                  <w:shd w:val="clear" w:color="auto" w:fill="6DE5AC"/>
                                </w:tcPr>
                                <w:p w14:paraId="2548809B" w14:textId="77777777" w:rsidR="00057B6D" w:rsidRPr="00057B6D" w:rsidRDefault="00057B6D" w:rsidP="00057B6D">
                                  <w:pPr>
                                    <w:widowControl w:val="0"/>
                                    <w:autoSpaceDE w:val="0"/>
                                    <w:autoSpaceDN w:val="0"/>
                                  </w:pPr>
                                  <w:r w:rsidRPr="00057B6D">
                                    <w:t>Democratic</w:t>
                                  </w:r>
                                </w:p>
                              </w:tc>
                              <w:tc>
                                <w:tcPr>
                                  <w:tcW w:w="2031" w:type="dxa"/>
                                  <w:shd w:val="clear" w:color="auto" w:fill="6DE5AC"/>
                                </w:tcPr>
                                <w:p w14:paraId="697A6DB5" w14:textId="77777777" w:rsidR="00057B6D" w:rsidRPr="00057B6D" w:rsidRDefault="00057B6D" w:rsidP="00057B6D">
                                  <w:pPr>
                                    <w:widowControl w:val="0"/>
                                    <w:autoSpaceDE w:val="0"/>
                                    <w:autoSpaceDN w:val="0"/>
                                  </w:pPr>
                                  <w:r w:rsidRPr="00057B6D">
                                    <w:t>Covert and Sporadic</w:t>
                                  </w:r>
                                </w:p>
                              </w:tc>
                            </w:tr>
                            <w:tr w:rsidR="00057B6D" w:rsidRPr="00057B6D" w14:paraId="1A9C9A8F" w14:textId="77777777" w:rsidTr="00057B6D">
                              <w:trPr>
                                <w:trHeight w:val="606"/>
                              </w:trPr>
                              <w:tc>
                                <w:tcPr>
                                  <w:tcW w:w="1135" w:type="dxa"/>
                                  <w:shd w:val="clear" w:color="auto" w:fill="FFFF00"/>
                                </w:tcPr>
                                <w:p w14:paraId="71B2BACC" w14:textId="77777777" w:rsidR="00057B6D" w:rsidRPr="00057B6D" w:rsidRDefault="00057B6D" w:rsidP="00057B6D">
                                  <w:pPr>
                                    <w:widowControl w:val="0"/>
                                    <w:autoSpaceDE w:val="0"/>
                                    <w:autoSpaceDN w:val="0"/>
                                  </w:pPr>
                                  <w:r w:rsidRPr="00057B6D">
                                    <w:t>2012-Todate</w:t>
                                  </w:r>
                                </w:p>
                              </w:tc>
                              <w:tc>
                                <w:tcPr>
                                  <w:tcW w:w="2070" w:type="dxa"/>
                                  <w:shd w:val="clear" w:color="auto" w:fill="FFFF00"/>
                                </w:tcPr>
                                <w:p w14:paraId="70B51852" w14:textId="77777777" w:rsidR="00057B6D" w:rsidRPr="00057B6D" w:rsidRDefault="00057B6D" w:rsidP="00057B6D">
                                  <w:pPr>
                                    <w:widowControl w:val="0"/>
                                    <w:autoSpaceDE w:val="0"/>
                                    <w:autoSpaceDN w:val="0"/>
                                  </w:pPr>
                                  <w:r w:rsidRPr="00057B6D">
                                    <w:t>Coalition</w:t>
                                  </w:r>
                                </w:p>
                              </w:tc>
                              <w:tc>
                                <w:tcPr>
                                  <w:tcW w:w="1830" w:type="dxa"/>
                                  <w:shd w:val="clear" w:color="auto" w:fill="FFFF00"/>
                                </w:tcPr>
                                <w:p w14:paraId="6E72F780" w14:textId="77777777" w:rsidR="00057B6D" w:rsidRPr="00057B6D" w:rsidRDefault="00057B6D" w:rsidP="00057B6D">
                                  <w:pPr>
                                    <w:widowControl w:val="0"/>
                                    <w:autoSpaceDE w:val="0"/>
                                    <w:autoSpaceDN w:val="0"/>
                                  </w:pPr>
                                  <w:r w:rsidRPr="00057B6D">
                                    <w:t>Democratic</w:t>
                                  </w:r>
                                </w:p>
                              </w:tc>
                              <w:tc>
                                <w:tcPr>
                                  <w:tcW w:w="2031" w:type="dxa"/>
                                  <w:shd w:val="clear" w:color="auto" w:fill="FFFF00"/>
                                </w:tcPr>
                                <w:p w14:paraId="4B8DD120" w14:textId="77777777" w:rsidR="00057B6D" w:rsidRPr="00057B6D" w:rsidRDefault="00057B6D" w:rsidP="00057B6D">
                                  <w:pPr>
                                    <w:widowControl w:val="0"/>
                                    <w:autoSpaceDE w:val="0"/>
                                    <w:autoSpaceDN w:val="0"/>
                                  </w:pPr>
                                  <w:r w:rsidRPr="00057B6D">
                                    <w:t>Covert and Sporadic</w:t>
                                  </w:r>
                                </w:p>
                              </w:tc>
                            </w:tr>
                          </w:tbl>
                          <w:p w14:paraId="518CAE57" w14:textId="0F3EF73E" w:rsidR="00057B6D" w:rsidRDefault="00057B6D">
                            <w:r w:rsidRPr="00057B6D">
                              <w:rPr>
                                <w:b/>
                              </w:rPr>
                              <w:t>Source</w:t>
                            </w:r>
                            <w:r w:rsidRPr="00057B6D">
                              <w:t>: Authors’ Own Compilation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2107B24" id="_x0000_t202" coordsize="21600,21600" o:spt="202" path="m,l,21600r21600,l21600,xe">
                <v:stroke joinstyle="miter"/>
                <v:path gradientshapeok="t" o:connecttype="rect"/>
              </v:shapetype>
              <v:shape id="Text Box 2" o:spid="_x0000_s1026" type="#_x0000_t202" style="position:absolute;left:0;text-align:left;margin-left:334.3pt;margin-top:28.55pt;width:385.5pt;height:4in;z-index:251659264;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" filled="f" stroked="f">
                <v:textbox>
                  <w:txbxContent>
                    <w:p w14:paraId="583EDFF8" w14:textId="601FAA30" w:rsidR="00057B6D" w:rsidRDefault="00057B6D" w:rsidP="00057B6D">
                      <w:r w:rsidRPr="00057B6D">
                        <w:rPr>
                          <w:b/>
                          <w:bCs/>
                        </w:rPr>
                        <w:t>Table 1: Historical Trajectory of the Culture of Violence in Lesotho</w:t>
                      </w:r>
                    </w:p>
                    <w:tbl>
                      <w:tblPr>
                        <w:tblStyle w:val="TableGrid"/>
                        <w:tblW w:w="7066" w:type="dxa"/>
                        <w:tblLook w:val="04A0" w:firstRow="1" w:lastRow="0" w:firstColumn="1" w:lastColumn="0" w:noHBand="0" w:noVBand="1"/>
                      </w:tblPr>
                      <w:tblGrid>
                        <w:gridCol w:w="1135"/>
                        <w:gridCol w:w="2070"/>
                        <w:gridCol w:w="1830"/>
                        <w:gridCol w:w="2031"/>
                      </w:tblGrid>
                      <w:tr w:rsidR="00057B6D" w:rsidRPr="00057B6D" w14:paraId="2E2FF327" w14:textId="77777777" w:rsidTr="00057B6D">
                        <w:trPr>
                          <w:trHeight w:val="1232"/>
                        </w:trPr>
                        <w:tc>
                          <w:tcPr>
                            <w:tcW w:w="1135" w:type="dxa"/>
                            <w:shd w:val="clear" w:color="auto" w:fill="CCCCCC" w:themeFill="text2" w:themeFillTint="33"/>
                          </w:tcPr>
                          <w:p w14:paraId="25C49F2B" w14:textId="77777777" w:rsidR="00057B6D" w:rsidRPr="00057B6D" w:rsidRDefault="00057B6D" w:rsidP="00057B6D">
                            <w:pPr>
                              <w:widowControl w:val="0"/>
                              <w:autoSpaceDE w:val="0"/>
                              <w:autoSpaceDN w:val="0"/>
                              <w:rPr>
                                <w:b/>
                                <w:bCs/>
                              </w:rPr>
                            </w:pPr>
                            <w:r w:rsidRPr="00057B6D">
                              <w:rPr>
                                <w:b/>
                                <w:bCs/>
                              </w:rPr>
                              <w:t>Period</w:t>
                            </w:r>
                          </w:p>
                        </w:tc>
                        <w:tc>
                          <w:tcPr>
                            <w:tcW w:w="2070" w:type="dxa"/>
                            <w:shd w:val="clear" w:color="auto" w:fill="CCCCCC" w:themeFill="text2" w:themeFillTint="33"/>
                          </w:tcPr>
                          <w:p w14:paraId="031AFA89" w14:textId="77777777" w:rsidR="00057B6D" w:rsidRPr="00057B6D" w:rsidRDefault="00057B6D" w:rsidP="00057B6D">
                            <w:pPr>
                              <w:widowControl w:val="0"/>
                              <w:autoSpaceDE w:val="0"/>
                              <w:autoSpaceDN w:val="0"/>
                              <w:rPr>
                                <w:b/>
                                <w:bCs/>
                              </w:rPr>
                            </w:pPr>
                            <w:r w:rsidRPr="00057B6D">
                              <w:rPr>
                                <w:b/>
                                <w:bCs/>
                              </w:rPr>
                              <w:t>Governance Type</w:t>
                            </w:r>
                          </w:p>
                        </w:tc>
                        <w:tc>
                          <w:tcPr>
                            <w:tcW w:w="1830" w:type="dxa"/>
                            <w:shd w:val="clear" w:color="auto" w:fill="CCCCCC" w:themeFill="text2" w:themeFillTint="33"/>
                          </w:tcPr>
                          <w:p w14:paraId="3D0A0471" w14:textId="77777777" w:rsidR="00057B6D" w:rsidRPr="00057B6D" w:rsidRDefault="00057B6D" w:rsidP="00057B6D">
                            <w:pPr>
                              <w:widowControl w:val="0"/>
                              <w:autoSpaceDE w:val="0"/>
                              <w:autoSpaceDN w:val="0"/>
                              <w:rPr>
                                <w:b/>
                                <w:bCs/>
                              </w:rPr>
                            </w:pPr>
                            <w:r w:rsidRPr="00057B6D">
                              <w:rPr>
                                <w:b/>
                                <w:bCs/>
                              </w:rPr>
                              <w:t>Regime Type</w:t>
                            </w:r>
                          </w:p>
                        </w:tc>
                        <w:tc>
                          <w:tcPr>
                            <w:tcW w:w="2031" w:type="dxa"/>
                            <w:shd w:val="clear" w:color="auto" w:fill="CCCCCC" w:themeFill="text2" w:themeFillTint="33"/>
                          </w:tcPr>
                          <w:p w14:paraId="44593AC2" w14:textId="77777777" w:rsidR="00057B6D" w:rsidRPr="00057B6D" w:rsidRDefault="00057B6D" w:rsidP="00057B6D">
                            <w:pPr>
                              <w:widowControl w:val="0"/>
                              <w:autoSpaceDE w:val="0"/>
                              <w:autoSpaceDN w:val="0"/>
                              <w:rPr>
                                <w:b/>
                                <w:bCs/>
                              </w:rPr>
                            </w:pPr>
                            <w:r w:rsidRPr="00057B6D">
                              <w:rPr>
                                <w:b/>
                                <w:bCs/>
                              </w:rPr>
                              <w:t>Magnitude of Violence &amp; Human Rights Violations</w:t>
                            </w:r>
                          </w:p>
                        </w:tc>
                      </w:tr>
                      <w:tr w:rsidR="00057B6D" w:rsidRPr="00057B6D" w14:paraId="28D02D0C" w14:textId="77777777" w:rsidTr="00057B6D">
                        <w:trPr>
                          <w:trHeight w:val="606"/>
                        </w:trPr>
                        <w:tc>
                          <w:tcPr>
                            <w:tcW w:w="1135" w:type="dxa"/>
                            <w:shd w:val="clear" w:color="auto" w:fill="FF0066"/>
                          </w:tcPr>
                          <w:p w14:paraId="008FEE5F" w14:textId="77777777" w:rsidR="00057B6D" w:rsidRPr="00057B6D" w:rsidRDefault="00057B6D" w:rsidP="00057B6D">
                            <w:pPr>
                              <w:widowControl w:val="0"/>
                              <w:autoSpaceDE w:val="0"/>
                              <w:autoSpaceDN w:val="0"/>
                            </w:pPr>
                            <w:r w:rsidRPr="00057B6D">
                              <w:t>1966-1970</w:t>
                            </w:r>
                          </w:p>
                        </w:tc>
                        <w:tc>
                          <w:tcPr>
                            <w:tcW w:w="2070" w:type="dxa"/>
                            <w:shd w:val="clear" w:color="auto" w:fill="FF0066"/>
                          </w:tcPr>
                          <w:p w14:paraId="2CB865C4" w14:textId="77777777" w:rsidR="00057B6D" w:rsidRPr="00057B6D" w:rsidRDefault="00057B6D" w:rsidP="00057B6D">
                            <w:pPr>
                              <w:widowControl w:val="0"/>
                              <w:autoSpaceDE w:val="0"/>
                              <w:autoSpaceDN w:val="0"/>
                            </w:pPr>
                            <w:r w:rsidRPr="00057B6D">
                              <w:t>Embryonic Multiparty</w:t>
                            </w:r>
                          </w:p>
                        </w:tc>
                        <w:tc>
                          <w:tcPr>
                            <w:tcW w:w="1830" w:type="dxa"/>
                            <w:shd w:val="clear" w:color="auto" w:fill="FF0066"/>
                          </w:tcPr>
                          <w:p w14:paraId="3924CCF9" w14:textId="77777777" w:rsidR="00057B6D" w:rsidRPr="00057B6D" w:rsidRDefault="00057B6D" w:rsidP="00057B6D">
                            <w:pPr>
                              <w:widowControl w:val="0"/>
                              <w:autoSpaceDE w:val="0"/>
                              <w:autoSpaceDN w:val="0"/>
                            </w:pPr>
                            <w:r w:rsidRPr="00057B6D">
                              <w:t>Democratic</w:t>
                            </w:r>
                          </w:p>
                        </w:tc>
                        <w:tc>
                          <w:tcPr>
                            <w:tcW w:w="2031" w:type="dxa"/>
                            <w:shd w:val="clear" w:color="auto" w:fill="FF0066"/>
                          </w:tcPr>
                          <w:p w14:paraId="53D83759" w14:textId="77777777" w:rsidR="00057B6D" w:rsidRPr="00057B6D" w:rsidRDefault="00057B6D" w:rsidP="00057B6D">
                            <w:pPr>
                              <w:widowControl w:val="0"/>
                              <w:autoSpaceDE w:val="0"/>
                              <w:autoSpaceDN w:val="0"/>
                            </w:pPr>
                            <w:r w:rsidRPr="00057B6D">
                              <w:t>Covert &amp; Sporadic</w:t>
                            </w:r>
                            <w:r w:rsidRPr="00057B6D">
                              <w:rPr>
                                <w:vertAlign w:val="superscript"/>
                              </w:rPr>
                              <w:footnoteRef/>
                            </w:r>
                          </w:p>
                        </w:tc>
                      </w:tr>
                      <w:tr w:rsidR="00057B6D" w:rsidRPr="00057B6D" w14:paraId="1BACC567" w14:textId="77777777" w:rsidTr="00057B6D">
                        <w:trPr>
                          <w:trHeight w:val="625"/>
                        </w:trPr>
                        <w:tc>
                          <w:tcPr>
                            <w:tcW w:w="1135" w:type="dxa"/>
                            <w:shd w:val="clear" w:color="auto" w:fill="E0E0E0" w:themeFill="accent2" w:themeFillTint="66"/>
                          </w:tcPr>
                          <w:p w14:paraId="555CE56C" w14:textId="77777777" w:rsidR="00057B6D" w:rsidRPr="00057B6D" w:rsidRDefault="00057B6D" w:rsidP="00057B6D">
                            <w:pPr>
                              <w:widowControl w:val="0"/>
                              <w:autoSpaceDE w:val="0"/>
                              <w:autoSpaceDN w:val="0"/>
                            </w:pPr>
                            <w:r w:rsidRPr="00057B6D">
                              <w:t>1971-1985</w:t>
                            </w:r>
                          </w:p>
                        </w:tc>
                        <w:tc>
                          <w:tcPr>
                            <w:tcW w:w="2070" w:type="dxa"/>
                            <w:shd w:val="clear" w:color="auto" w:fill="E0E0E0" w:themeFill="accent2" w:themeFillTint="66"/>
                          </w:tcPr>
                          <w:p w14:paraId="67DA45AF" w14:textId="77777777" w:rsidR="00057B6D" w:rsidRPr="00057B6D" w:rsidRDefault="00057B6D" w:rsidP="00057B6D">
                            <w:pPr>
                              <w:widowControl w:val="0"/>
                              <w:autoSpaceDE w:val="0"/>
                              <w:autoSpaceDN w:val="0"/>
                            </w:pPr>
                            <w:r w:rsidRPr="00057B6D">
                              <w:t>One party</w:t>
                            </w:r>
                          </w:p>
                        </w:tc>
                        <w:tc>
                          <w:tcPr>
                            <w:tcW w:w="1830" w:type="dxa"/>
                            <w:shd w:val="clear" w:color="auto" w:fill="E0E0E0" w:themeFill="accent2" w:themeFillTint="66"/>
                          </w:tcPr>
                          <w:p w14:paraId="3BB04887" w14:textId="77777777" w:rsidR="00057B6D" w:rsidRPr="00057B6D" w:rsidRDefault="00057B6D" w:rsidP="00057B6D">
                            <w:pPr>
                              <w:widowControl w:val="0"/>
                              <w:autoSpaceDE w:val="0"/>
                              <w:autoSpaceDN w:val="0"/>
                            </w:pPr>
                            <w:r w:rsidRPr="00057B6D">
                              <w:t>Authoritarian</w:t>
                            </w:r>
                          </w:p>
                        </w:tc>
                        <w:tc>
                          <w:tcPr>
                            <w:tcW w:w="2031" w:type="dxa"/>
                            <w:shd w:val="clear" w:color="auto" w:fill="E0E0E0" w:themeFill="accent2" w:themeFillTint="66"/>
                          </w:tcPr>
                          <w:p w14:paraId="74DB49D7" w14:textId="77777777" w:rsidR="00057B6D" w:rsidRPr="00057B6D" w:rsidRDefault="00057B6D" w:rsidP="00057B6D">
                            <w:pPr>
                              <w:widowControl w:val="0"/>
                              <w:autoSpaceDE w:val="0"/>
                              <w:autoSpaceDN w:val="0"/>
                            </w:pPr>
                            <w:r w:rsidRPr="00057B6D">
                              <w:t>Overt and Generalised</w:t>
                            </w:r>
                            <w:r w:rsidRPr="00057B6D">
                              <w:rPr>
                                <w:vertAlign w:val="superscript"/>
                              </w:rPr>
                              <w:footnoteRef/>
                            </w:r>
                          </w:p>
                        </w:tc>
                      </w:tr>
                      <w:tr w:rsidR="00057B6D" w:rsidRPr="00057B6D" w14:paraId="23C44C68" w14:textId="77777777" w:rsidTr="00057B6D">
                        <w:trPr>
                          <w:trHeight w:val="606"/>
                        </w:trPr>
                        <w:tc>
                          <w:tcPr>
                            <w:tcW w:w="1135" w:type="dxa"/>
                            <w:shd w:val="clear" w:color="auto" w:fill="E0E0E0" w:themeFill="accent2" w:themeFillTint="66"/>
                          </w:tcPr>
                          <w:p w14:paraId="4E1DC37A" w14:textId="77777777" w:rsidR="00057B6D" w:rsidRPr="00057B6D" w:rsidRDefault="00057B6D" w:rsidP="00057B6D">
                            <w:pPr>
                              <w:widowControl w:val="0"/>
                              <w:autoSpaceDE w:val="0"/>
                              <w:autoSpaceDN w:val="0"/>
                            </w:pPr>
                            <w:r w:rsidRPr="00057B6D">
                              <w:t>1986-1992</w:t>
                            </w:r>
                          </w:p>
                        </w:tc>
                        <w:tc>
                          <w:tcPr>
                            <w:tcW w:w="2070" w:type="dxa"/>
                            <w:shd w:val="clear" w:color="auto" w:fill="E0E0E0" w:themeFill="accent2" w:themeFillTint="66"/>
                          </w:tcPr>
                          <w:p w14:paraId="66E10EF6" w14:textId="77777777" w:rsidR="00057B6D" w:rsidRPr="00057B6D" w:rsidRDefault="00057B6D" w:rsidP="00057B6D">
                            <w:pPr>
                              <w:widowControl w:val="0"/>
                              <w:autoSpaceDE w:val="0"/>
                              <w:autoSpaceDN w:val="0"/>
                            </w:pPr>
                            <w:r w:rsidRPr="00057B6D">
                              <w:t>Military</w:t>
                            </w:r>
                          </w:p>
                        </w:tc>
                        <w:tc>
                          <w:tcPr>
                            <w:tcW w:w="1830" w:type="dxa"/>
                            <w:shd w:val="clear" w:color="auto" w:fill="E0E0E0" w:themeFill="accent2" w:themeFillTint="66"/>
                          </w:tcPr>
                          <w:p w14:paraId="6307E5EE" w14:textId="77777777" w:rsidR="00057B6D" w:rsidRPr="00057B6D" w:rsidRDefault="00057B6D" w:rsidP="00057B6D">
                            <w:pPr>
                              <w:widowControl w:val="0"/>
                              <w:autoSpaceDE w:val="0"/>
                              <w:autoSpaceDN w:val="0"/>
                            </w:pPr>
                            <w:r w:rsidRPr="00057B6D">
                              <w:t>Authoritarian</w:t>
                            </w:r>
                          </w:p>
                        </w:tc>
                        <w:tc>
                          <w:tcPr>
                            <w:tcW w:w="2031" w:type="dxa"/>
                            <w:shd w:val="clear" w:color="auto" w:fill="E0E0E0" w:themeFill="accent2" w:themeFillTint="66"/>
                          </w:tcPr>
                          <w:p w14:paraId="410CD140" w14:textId="77777777" w:rsidR="00057B6D" w:rsidRPr="00057B6D" w:rsidRDefault="00057B6D" w:rsidP="00057B6D">
                            <w:pPr>
                              <w:widowControl w:val="0"/>
                              <w:autoSpaceDE w:val="0"/>
                              <w:autoSpaceDN w:val="0"/>
                            </w:pPr>
                            <w:r w:rsidRPr="00057B6D">
                              <w:t>Overt and Generalised</w:t>
                            </w:r>
                          </w:p>
                        </w:tc>
                      </w:tr>
                      <w:tr w:rsidR="00057B6D" w:rsidRPr="00057B6D" w14:paraId="3B9C4661" w14:textId="77777777" w:rsidTr="00057B6D">
                        <w:trPr>
                          <w:trHeight w:val="625"/>
                        </w:trPr>
                        <w:tc>
                          <w:tcPr>
                            <w:tcW w:w="1135" w:type="dxa"/>
                            <w:shd w:val="clear" w:color="auto" w:fill="6DE5AC"/>
                          </w:tcPr>
                          <w:p w14:paraId="3CB4088C" w14:textId="77777777" w:rsidR="00057B6D" w:rsidRPr="00057B6D" w:rsidRDefault="00057B6D" w:rsidP="00057B6D">
                            <w:pPr>
                              <w:widowControl w:val="0"/>
                              <w:autoSpaceDE w:val="0"/>
                              <w:autoSpaceDN w:val="0"/>
                            </w:pPr>
                            <w:r w:rsidRPr="00057B6D">
                              <w:t>1993-2001</w:t>
                            </w:r>
                          </w:p>
                        </w:tc>
                        <w:tc>
                          <w:tcPr>
                            <w:tcW w:w="2070" w:type="dxa"/>
                            <w:shd w:val="clear" w:color="auto" w:fill="6DE5AC"/>
                          </w:tcPr>
                          <w:p w14:paraId="61B8C9BC" w14:textId="77777777" w:rsidR="00057B6D" w:rsidRPr="00057B6D" w:rsidRDefault="00057B6D" w:rsidP="00057B6D">
                            <w:pPr>
                              <w:widowControl w:val="0"/>
                              <w:autoSpaceDE w:val="0"/>
                              <w:autoSpaceDN w:val="0"/>
                            </w:pPr>
                            <w:r w:rsidRPr="00057B6D">
                              <w:t>Dominant party</w:t>
                            </w:r>
                          </w:p>
                        </w:tc>
                        <w:tc>
                          <w:tcPr>
                            <w:tcW w:w="1830" w:type="dxa"/>
                            <w:shd w:val="clear" w:color="auto" w:fill="6DE5AC"/>
                          </w:tcPr>
                          <w:p w14:paraId="09201A33" w14:textId="77777777" w:rsidR="00057B6D" w:rsidRPr="00057B6D" w:rsidRDefault="00057B6D" w:rsidP="00057B6D">
                            <w:pPr>
                              <w:widowControl w:val="0"/>
                              <w:autoSpaceDE w:val="0"/>
                              <w:autoSpaceDN w:val="0"/>
                            </w:pPr>
                            <w:r w:rsidRPr="00057B6D">
                              <w:t>Democratic</w:t>
                            </w:r>
                          </w:p>
                        </w:tc>
                        <w:tc>
                          <w:tcPr>
                            <w:tcW w:w="2031" w:type="dxa"/>
                            <w:shd w:val="clear" w:color="auto" w:fill="6DE5AC"/>
                          </w:tcPr>
                          <w:p w14:paraId="2F99D565" w14:textId="77777777" w:rsidR="00057B6D" w:rsidRPr="00057B6D" w:rsidRDefault="00057B6D" w:rsidP="00057B6D">
                            <w:pPr>
                              <w:widowControl w:val="0"/>
                              <w:autoSpaceDE w:val="0"/>
                              <w:autoSpaceDN w:val="0"/>
                            </w:pPr>
                            <w:r w:rsidRPr="00057B6D">
                              <w:t>Covert and Sporadic</w:t>
                            </w:r>
                          </w:p>
                        </w:tc>
                      </w:tr>
                      <w:tr w:rsidR="00057B6D" w:rsidRPr="00057B6D" w14:paraId="18CFA9D3" w14:textId="77777777" w:rsidTr="00057B6D">
                        <w:trPr>
                          <w:trHeight w:val="606"/>
                        </w:trPr>
                        <w:tc>
                          <w:tcPr>
                            <w:tcW w:w="1135" w:type="dxa"/>
                            <w:shd w:val="clear" w:color="auto" w:fill="6DE5AC"/>
                          </w:tcPr>
                          <w:p w14:paraId="7544C409" w14:textId="77777777" w:rsidR="00057B6D" w:rsidRPr="00057B6D" w:rsidRDefault="00057B6D" w:rsidP="00057B6D">
                            <w:pPr>
                              <w:widowControl w:val="0"/>
                              <w:autoSpaceDE w:val="0"/>
                              <w:autoSpaceDN w:val="0"/>
                            </w:pPr>
                            <w:r w:rsidRPr="00057B6D">
                              <w:t>2002-2011</w:t>
                            </w:r>
                          </w:p>
                        </w:tc>
                        <w:tc>
                          <w:tcPr>
                            <w:tcW w:w="2070" w:type="dxa"/>
                            <w:shd w:val="clear" w:color="auto" w:fill="6DE5AC"/>
                          </w:tcPr>
                          <w:p w14:paraId="6A219470" w14:textId="77777777" w:rsidR="00057B6D" w:rsidRPr="00057B6D" w:rsidRDefault="00057B6D" w:rsidP="00057B6D">
                            <w:pPr>
                              <w:widowControl w:val="0"/>
                              <w:autoSpaceDE w:val="0"/>
                              <w:autoSpaceDN w:val="0"/>
                            </w:pPr>
                            <w:r w:rsidRPr="00057B6D">
                              <w:t>Dominant party</w:t>
                            </w:r>
                          </w:p>
                        </w:tc>
                        <w:tc>
                          <w:tcPr>
                            <w:tcW w:w="1830" w:type="dxa"/>
                            <w:shd w:val="clear" w:color="auto" w:fill="6DE5AC"/>
                          </w:tcPr>
                          <w:p w14:paraId="2548809B" w14:textId="77777777" w:rsidR="00057B6D" w:rsidRPr="00057B6D" w:rsidRDefault="00057B6D" w:rsidP="00057B6D">
                            <w:pPr>
                              <w:widowControl w:val="0"/>
                              <w:autoSpaceDE w:val="0"/>
                              <w:autoSpaceDN w:val="0"/>
                            </w:pPr>
                            <w:r w:rsidRPr="00057B6D">
                              <w:t>Democratic</w:t>
                            </w:r>
                          </w:p>
                        </w:tc>
                        <w:tc>
                          <w:tcPr>
                            <w:tcW w:w="2031" w:type="dxa"/>
                            <w:shd w:val="clear" w:color="auto" w:fill="6DE5AC"/>
                          </w:tcPr>
                          <w:p w14:paraId="697A6DB5" w14:textId="77777777" w:rsidR="00057B6D" w:rsidRPr="00057B6D" w:rsidRDefault="00057B6D" w:rsidP="00057B6D">
                            <w:pPr>
                              <w:widowControl w:val="0"/>
                              <w:autoSpaceDE w:val="0"/>
                              <w:autoSpaceDN w:val="0"/>
                            </w:pPr>
                            <w:r w:rsidRPr="00057B6D">
                              <w:t>Covert and Sporadic</w:t>
                            </w:r>
                          </w:p>
                        </w:tc>
                      </w:tr>
                      <w:tr w:rsidR="00057B6D" w:rsidRPr="00057B6D" w14:paraId="1A9C9A8F" w14:textId="77777777" w:rsidTr="00057B6D">
                        <w:trPr>
                          <w:trHeight w:val="606"/>
                        </w:trPr>
                        <w:tc>
                          <w:tcPr>
                            <w:tcW w:w="1135" w:type="dxa"/>
                            <w:shd w:val="clear" w:color="auto" w:fill="FFFF00"/>
                          </w:tcPr>
                          <w:p w14:paraId="71B2BACC" w14:textId="77777777" w:rsidR="00057B6D" w:rsidRPr="00057B6D" w:rsidRDefault="00057B6D" w:rsidP="00057B6D">
                            <w:pPr>
                              <w:widowControl w:val="0"/>
                              <w:autoSpaceDE w:val="0"/>
                              <w:autoSpaceDN w:val="0"/>
                            </w:pPr>
                            <w:r w:rsidRPr="00057B6D">
                              <w:t>2012-Todate</w:t>
                            </w:r>
                          </w:p>
                        </w:tc>
                        <w:tc>
                          <w:tcPr>
                            <w:tcW w:w="2070" w:type="dxa"/>
                            <w:shd w:val="clear" w:color="auto" w:fill="FFFF00"/>
                          </w:tcPr>
                          <w:p w14:paraId="70B51852" w14:textId="77777777" w:rsidR="00057B6D" w:rsidRPr="00057B6D" w:rsidRDefault="00057B6D" w:rsidP="00057B6D">
                            <w:pPr>
                              <w:widowControl w:val="0"/>
                              <w:autoSpaceDE w:val="0"/>
                              <w:autoSpaceDN w:val="0"/>
                            </w:pPr>
                            <w:r w:rsidRPr="00057B6D">
                              <w:t>Coalition</w:t>
                            </w:r>
                          </w:p>
                        </w:tc>
                        <w:tc>
                          <w:tcPr>
                            <w:tcW w:w="1830" w:type="dxa"/>
                            <w:shd w:val="clear" w:color="auto" w:fill="FFFF00"/>
                          </w:tcPr>
                          <w:p w14:paraId="6E72F780" w14:textId="77777777" w:rsidR="00057B6D" w:rsidRPr="00057B6D" w:rsidRDefault="00057B6D" w:rsidP="00057B6D">
                            <w:pPr>
                              <w:widowControl w:val="0"/>
                              <w:autoSpaceDE w:val="0"/>
                              <w:autoSpaceDN w:val="0"/>
                            </w:pPr>
                            <w:r w:rsidRPr="00057B6D">
                              <w:t>Democratic</w:t>
                            </w:r>
                          </w:p>
                        </w:tc>
                        <w:tc>
                          <w:tcPr>
                            <w:tcW w:w="2031" w:type="dxa"/>
                            <w:shd w:val="clear" w:color="auto" w:fill="FFFF00"/>
                          </w:tcPr>
                          <w:p w14:paraId="4B8DD120" w14:textId="77777777" w:rsidR="00057B6D" w:rsidRPr="00057B6D" w:rsidRDefault="00057B6D" w:rsidP="00057B6D">
                            <w:pPr>
                              <w:widowControl w:val="0"/>
                              <w:autoSpaceDE w:val="0"/>
                              <w:autoSpaceDN w:val="0"/>
                            </w:pPr>
                            <w:r w:rsidRPr="00057B6D">
                              <w:t>Covert and Sporadic</w:t>
                            </w:r>
                          </w:p>
                        </w:tc>
                      </w:tr>
                    </w:tbl>
                    <w:p w14:paraId="518CAE57" w14:textId="0F3EF73E" w:rsidR="00057B6D" w:rsidRDefault="00057B6D">
                      <w:r w:rsidRPr="00057B6D">
                        <w:rPr>
                          <w:b/>
                        </w:rPr>
                        <w:t>Source</w:t>
                      </w:r>
                      <w:r w:rsidRPr="00057B6D">
                        <w:t>: Authors’ Own Compilation</w:t>
                      </w:r>
                    </w:p>
                  </w:txbxContent>
                </v:textbox>
                <w10:wrap type="square" anchorx="page"/>
              </v:shape>
            </w:pict>
          </mc:Fallback>
        </mc:AlternateContent>
      </w:r>
      <w:r w:rsidR="00040536" w:rsidRPr="00716EE2">
        <w:rPr>
          <w:rFonts w:ascii="Tahoma" w:hAnsi="Tahoma" w:cs="Tahoma"/>
          <w:sz w:val="24"/>
          <w:szCs w:val="24"/>
        </w:rPr>
        <w:t>TJ is often a propitious policy response in countries engulfed in pervasive violent conflicts, either transitioning from autocracy to democracy and/or from war to peace. Post-colonial Lesotho has been entangled in protrac</w:t>
      </w:r>
      <w:r w:rsidR="00B07705">
        <w:rPr>
          <w:rFonts w:ascii="Tahoma" w:hAnsi="Tahoma" w:cs="Tahoma"/>
          <w:sz w:val="24"/>
          <w:szCs w:val="24"/>
        </w:rPr>
        <w:t xml:space="preserve">ted violent conflicts. Although </w:t>
      </w:r>
      <w:r w:rsidR="00040536" w:rsidRPr="00716EE2">
        <w:rPr>
          <w:rFonts w:ascii="Tahoma" w:hAnsi="Tahoma" w:cs="Tahoma"/>
          <w:sz w:val="24"/>
          <w:szCs w:val="24"/>
        </w:rPr>
        <w:t>contemporary Lesotho has been spared the vagaries of a full-blown and outright war, it has been historically bedeviled by an embedded culture</w:t>
      </w:r>
      <w:r>
        <w:rPr>
          <w:rFonts w:ascii="Tahoma" w:hAnsi="Tahoma" w:cs="Tahoma"/>
          <w:sz w:val="24"/>
          <w:szCs w:val="24"/>
        </w:rPr>
        <w:t xml:space="preserve"> of violence as illustrated in T</w:t>
      </w:r>
      <w:r w:rsidR="00040536" w:rsidRPr="00716EE2">
        <w:rPr>
          <w:rFonts w:ascii="Tahoma" w:hAnsi="Tahoma" w:cs="Tahoma"/>
          <w:sz w:val="24"/>
          <w:szCs w:val="24"/>
        </w:rPr>
        <w:t>able 1.</w:t>
      </w:r>
    </w:p>
    <w:p w14:paraId="5972340F" w14:textId="77777777" w:rsidR="00040536" w:rsidRDefault="00040536" w:rsidP="00040536">
      <w:pPr>
        <w:spacing w:line="360" w:lineRule="auto"/>
        <w:jc w:val="both"/>
        <w:rPr>
          <w:rFonts w:ascii="Tahoma" w:hAnsi="Tahoma" w:cs="Tahoma"/>
          <w:sz w:val="24"/>
          <w:szCs w:val="24"/>
        </w:rPr>
      </w:pPr>
    </w:p>
    <w:p w14:paraId="0D43F726" w14:textId="77777777" w:rsidR="00040536" w:rsidRDefault="00040536" w:rsidP="00040536">
      <w:pPr>
        <w:spacing w:line="360" w:lineRule="auto"/>
        <w:jc w:val="both"/>
        <w:rPr>
          <w:rFonts w:ascii="Tahoma" w:hAnsi="Tahoma" w:cs="Tahoma"/>
          <w:sz w:val="24"/>
          <w:szCs w:val="24"/>
        </w:rPr>
      </w:pPr>
    </w:p>
    <w:p w14:paraId="273BB642" w14:textId="77777777" w:rsidR="00040536" w:rsidRPr="00716EE2" w:rsidRDefault="00040536" w:rsidP="00040536">
      <w:pPr>
        <w:adjustRightInd w:val="0"/>
        <w:spacing w:line="360" w:lineRule="auto"/>
        <w:jc w:val="both"/>
        <w:rPr>
          <w:rFonts w:ascii="Tahoma" w:hAnsi="Tahoma" w:cs="Tahoma"/>
          <w:sz w:val="24"/>
          <w:szCs w:val="24"/>
        </w:rPr>
      </w:pPr>
      <w:r w:rsidRPr="00716EE2">
        <w:rPr>
          <w:rFonts w:ascii="Tahoma" w:hAnsi="Tahoma" w:cs="Tahoma"/>
          <w:sz w:val="24"/>
          <w:szCs w:val="24"/>
        </w:rPr>
        <w:t xml:space="preserve">Since 1966 to date, post-independence Lesotho has been marked by violent conflicts of various types and magnitudes. </w:t>
      </w:r>
      <w:r>
        <w:rPr>
          <w:rFonts w:ascii="Tahoma" w:hAnsi="Tahoma" w:cs="Tahoma"/>
          <w:sz w:val="24"/>
          <w:szCs w:val="24"/>
        </w:rPr>
        <w:t xml:space="preserve">Following a brief period of an embryonic democracy, the country’s political system has evolved from a one-party and to military autocracy and back to multi-party democracy of a dominant-party type and ultimately a coalition governance type. </w:t>
      </w:r>
    </w:p>
    <w:p w14:paraId="38CBD36D" w14:textId="77777777" w:rsidR="00040536" w:rsidRPr="00716EE2" w:rsidRDefault="00040536" w:rsidP="00040536">
      <w:pPr>
        <w:pStyle w:val="ListParagraph"/>
        <w:widowControl/>
        <w:numPr>
          <w:ilvl w:val="0"/>
          <w:numId w:val="36"/>
        </w:numPr>
        <w:autoSpaceDE/>
        <w:autoSpaceDN/>
        <w:spacing w:after="160" w:line="360" w:lineRule="auto"/>
        <w:contextualSpacing/>
        <w:jc w:val="both"/>
        <w:rPr>
          <w:rFonts w:ascii="Tahoma" w:hAnsi="Tahoma" w:cs="Tahoma"/>
          <w:b/>
          <w:bCs/>
          <w:sz w:val="24"/>
          <w:szCs w:val="24"/>
        </w:rPr>
      </w:pPr>
      <w:r w:rsidRPr="00716EE2">
        <w:rPr>
          <w:rFonts w:ascii="Tahoma" w:hAnsi="Tahoma" w:cs="Tahoma"/>
          <w:b/>
          <w:bCs/>
          <w:sz w:val="24"/>
          <w:szCs w:val="24"/>
        </w:rPr>
        <w:t>Research Overview</w:t>
      </w:r>
    </w:p>
    <w:p w14:paraId="7E7AC114" w14:textId="53E11A47" w:rsidR="00040536" w:rsidRPr="00716EE2" w:rsidRDefault="00040536" w:rsidP="00040536">
      <w:pPr>
        <w:spacing w:line="360" w:lineRule="auto"/>
        <w:jc w:val="both"/>
        <w:rPr>
          <w:rFonts w:ascii="Tahoma" w:hAnsi="Tahoma" w:cs="Tahoma"/>
          <w:sz w:val="24"/>
          <w:szCs w:val="24"/>
        </w:rPr>
      </w:pPr>
      <w:r w:rsidRPr="00716EE2">
        <w:rPr>
          <w:rFonts w:ascii="Tahoma" w:hAnsi="Tahoma" w:cs="Tahoma"/>
          <w:sz w:val="24"/>
          <w:szCs w:val="24"/>
        </w:rPr>
        <w:t>Lesotho is embarking on a comprehensive national reform process aimed, in the main, at addressing the all-pervasive violent conflicts, instability and insecurity. The immediate trigger for the reforms was the 2014-2015 political crisis</w:t>
      </w:r>
      <w:r>
        <w:rPr>
          <w:rStyle w:val="FootnoteReference"/>
          <w:rFonts w:ascii="Tahoma" w:hAnsi="Tahoma" w:cs="Tahoma"/>
          <w:sz w:val="24"/>
          <w:szCs w:val="24"/>
        </w:rPr>
        <w:footnoteReference w:id="5"/>
      </w:r>
      <w:r w:rsidRPr="00716EE2">
        <w:rPr>
          <w:rFonts w:ascii="Tahoma" w:hAnsi="Tahoma" w:cs="Tahoma"/>
          <w:sz w:val="24"/>
          <w:szCs w:val="24"/>
        </w:rPr>
        <w:t xml:space="preserve"> which led to the Southern African Development Community (SADC) deploying the SADC Observer Mission in Lesotho (SOMILE) between September 2014 and November 2017. In its final report, SOMILE recommended, among others, </w:t>
      </w:r>
      <w:r w:rsidRPr="00716EE2">
        <w:rPr>
          <w:rFonts w:ascii="Tahoma" w:hAnsi="Tahoma" w:cs="Tahoma"/>
          <w:sz w:val="24"/>
          <w:szCs w:val="24"/>
        </w:rPr>
        <w:lastRenderedPageBreak/>
        <w:t xml:space="preserve">comprehensive governance reforms for Lesotho (Pherudi, 2023). In its 2017 framing document, the Government made a firm commitment to “undertake far-reaching reforms to ensure stability and prosperity. Basotho deserve to live in a stable, peaceful and secure environment and be assured of the enjoyment of their rights and efficient service delivery” (Government of Lesotho, 2017:4). </w:t>
      </w:r>
    </w:p>
    <w:p w14:paraId="464E1D38" w14:textId="7DBA019D" w:rsidR="00040536" w:rsidRPr="00716EE2" w:rsidRDefault="00C62E8B" w:rsidP="00040536">
      <w:pPr>
        <w:spacing w:line="360" w:lineRule="auto"/>
        <w:jc w:val="both"/>
        <w:rPr>
          <w:rFonts w:ascii="Tahoma" w:hAnsi="Tahoma" w:cs="Tahoma"/>
          <w:color w:val="000000" w:themeColor="text1"/>
          <w:sz w:val="24"/>
          <w:szCs w:val="24"/>
        </w:rPr>
      </w:pPr>
      <w:r w:rsidRPr="00C62E8B">
        <w:rPr>
          <w:rFonts w:ascii="Tahoma" w:hAnsi="Tahoma" w:cs="Tahoma"/>
          <w:noProof/>
          <w:sz w:val="24"/>
          <w:szCs w:val="24"/>
          <w:lang w:val="en-GB" w:eastAsia="en-GB"/>
        </w:rPr>
        <mc:AlternateContent>
          <mc:Choice Requires="wps">
            <w:drawing>
              <wp:anchor distT="45720" distB="45720" distL="114300" distR="114300" simplePos="0" relativeHeight="251663360" behindDoc="0" locked="0" layoutInCell="1" allowOverlap="1" wp14:anchorId="238A3EC2" wp14:editId="407BBE46">
                <wp:simplePos x="0" y="0"/>
                <wp:positionH relativeFrom="page">
                  <wp:align>right</wp:align>
                </wp:positionH>
                <wp:positionV relativeFrom="paragraph">
                  <wp:posOffset>10160</wp:posOffset>
                </wp:positionV>
                <wp:extent cx="1920875" cy="2443480"/>
                <wp:effectExtent l="0" t="0" r="0" b="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0875" cy="2443480"/>
                        </a:xfrm>
                        <a:prstGeom prst="rect">
                          <a:avLst/>
                        </a:prstGeom>
                        <a:noFill/>
                        <a:ln w="9525">
                          <a:noFill/>
                          <a:miter lim="800000"/>
                          <a:headEnd/>
                          <a:tailEnd/>
                        </a:ln>
                      </wps:spPr>
                      <wps:txbx>
                        <w:txbxContent>
                          <w:p w14:paraId="22FB53F9" w14:textId="12E5CD4E" w:rsidR="00C62E8B" w:rsidRDefault="00C62E8B">
                            <w:r>
                              <w:rPr>
                                <w:noProof/>
                                <w:lang w:val="en-GB" w:eastAsia="en-GB"/>
                              </w:rPr>
                              <w:drawing>
                                <wp:inline distT="0" distB="0" distL="0" distR="0" wp14:anchorId="1501E55B" wp14:editId="67D866EA">
                                  <wp:extent cx="1659751" cy="24206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hatGPT Image May 7, 2025, 12_30_57 PM.png"/>
                                          <pic:cNvPicPr/>
                                        </pic:nvPicPr>
                                        <pic:blipFill>
                                          <a:blip r:embed="rId7">
                                            <a:extLst>
                                              <a:ext uri="{28A0092B-C50C-407E-A947-70E740481C1C}">
                                                <a14:useLocalDpi xmlns:a14="http://schemas.microsoft.com/office/drawing/2010/main" val="0"/>
                                              </a:ext>
                                            </a:extLst>
                                          </a:blip>
                                          <a:stretch>
                                            <a:fillRect/>
                                          </a:stretch>
                                        </pic:blipFill>
                                        <pic:spPr>
                                          <a:xfrm>
                                            <a:off x="0" y="0"/>
                                            <a:ext cx="1672774" cy="243961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8A3EC2" id="_x0000_s1027" type="#_x0000_t202" style="position:absolute;left:0;text-align:left;margin-left:100.05pt;margin-top:.8pt;width:151.25pt;height:192.4pt;z-index:251663360;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" filled="f" stroked="f">
                <v:textbox>
                  <w:txbxContent>
                    <w:p w14:paraId="22FB53F9" w14:textId="12E5CD4E" w:rsidR="00C62E8B" w:rsidRDefault="00C62E8B">
                      <w:r>
                        <w:rPr>
                          <w:noProof/>
                          <w:lang w:val="en-GB" w:eastAsia="en-GB"/>
                        </w:rPr>
                        <w:drawing>
                          <wp:inline distT="0" distB="0" distL="0" distR="0" wp14:anchorId="1501E55B" wp14:editId="67D866EA">
                            <wp:extent cx="1659751" cy="24206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hatGPT Image May 7, 2025, 12_30_57 PM.png"/>
                                    <pic:cNvPicPr/>
                                  </pic:nvPicPr>
                                  <pic:blipFill>
                                    <a:blip r:embed="rId8">
                                      <a:extLst>
                                        <a:ext uri="{28A0092B-C50C-407E-A947-70E740481C1C}">
                                          <a14:useLocalDpi xmlns:a14="http://schemas.microsoft.com/office/drawing/2010/main" val="0"/>
                                        </a:ext>
                                      </a:extLst>
                                    </a:blip>
                                    <a:stretch>
                                      <a:fillRect/>
                                    </a:stretch>
                                  </pic:blipFill>
                                  <pic:spPr>
                                    <a:xfrm>
                                      <a:off x="0" y="0"/>
                                      <a:ext cx="1672774" cy="2439613"/>
                                    </a:xfrm>
                                    <a:prstGeom prst="rect">
                                      <a:avLst/>
                                    </a:prstGeom>
                                  </pic:spPr>
                                </pic:pic>
                              </a:graphicData>
                            </a:graphic>
                          </wp:inline>
                        </w:drawing>
                      </w:r>
                    </w:p>
                  </w:txbxContent>
                </v:textbox>
                <w10:wrap type="square" anchorx="page"/>
              </v:shape>
            </w:pict>
          </mc:Fallback>
        </mc:AlternateContent>
      </w:r>
      <w:r w:rsidR="00040536" w:rsidRPr="00716EE2">
        <w:rPr>
          <w:rFonts w:ascii="Tahoma" w:hAnsi="Tahoma" w:cs="Tahoma"/>
          <w:sz w:val="24"/>
          <w:szCs w:val="24"/>
        </w:rPr>
        <w:t>Since 2019, Lesotho has been embarking on a tortuous journey of comprehensive governance reforms covering seven thematic areas as follows: Constitution</w:t>
      </w:r>
      <w:r w:rsidR="00040536">
        <w:rPr>
          <w:rFonts w:ascii="Tahoma" w:hAnsi="Tahoma" w:cs="Tahoma"/>
          <w:sz w:val="24"/>
          <w:szCs w:val="24"/>
        </w:rPr>
        <w:t xml:space="preserve">, </w:t>
      </w:r>
      <w:r w:rsidR="00040536" w:rsidRPr="00716EE2">
        <w:rPr>
          <w:rFonts w:ascii="Tahoma" w:hAnsi="Tahoma" w:cs="Tahoma"/>
          <w:sz w:val="24"/>
          <w:szCs w:val="24"/>
        </w:rPr>
        <w:t>Parliament</w:t>
      </w:r>
      <w:r w:rsidR="00040536">
        <w:rPr>
          <w:rFonts w:ascii="Tahoma" w:hAnsi="Tahoma" w:cs="Tahoma"/>
          <w:sz w:val="24"/>
          <w:szCs w:val="24"/>
        </w:rPr>
        <w:t>,</w:t>
      </w:r>
      <w:r w:rsidR="00040536" w:rsidRPr="00716EE2">
        <w:rPr>
          <w:rFonts w:ascii="Tahoma" w:hAnsi="Tahoma" w:cs="Tahoma"/>
          <w:sz w:val="24"/>
          <w:szCs w:val="24"/>
        </w:rPr>
        <w:t xml:space="preserve"> Security Sector</w:t>
      </w:r>
      <w:r w:rsidR="00040536">
        <w:rPr>
          <w:rFonts w:ascii="Tahoma" w:hAnsi="Tahoma" w:cs="Tahoma"/>
          <w:sz w:val="24"/>
          <w:szCs w:val="24"/>
        </w:rPr>
        <w:t>,</w:t>
      </w:r>
      <w:r w:rsidR="00040536" w:rsidRPr="00716EE2">
        <w:rPr>
          <w:rFonts w:ascii="Tahoma" w:hAnsi="Tahoma" w:cs="Tahoma"/>
          <w:sz w:val="24"/>
          <w:szCs w:val="24"/>
        </w:rPr>
        <w:t xml:space="preserve"> Justice Sector</w:t>
      </w:r>
      <w:r w:rsidR="00040536">
        <w:rPr>
          <w:rFonts w:ascii="Tahoma" w:hAnsi="Tahoma" w:cs="Tahoma"/>
          <w:sz w:val="24"/>
          <w:szCs w:val="24"/>
        </w:rPr>
        <w:t>,</w:t>
      </w:r>
      <w:r w:rsidR="00040536" w:rsidRPr="00716EE2">
        <w:rPr>
          <w:rFonts w:ascii="Tahoma" w:hAnsi="Tahoma" w:cs="Tahoma"/>
          <w:sz w:val="24"/>
          <w:szCs w:val="24"/>
        </w:rPr>
        <w:t xml:space="preserve"> Public Service</w:t>
      </w:r>
      <w:r w:rsidR="00040536">
        <w:rPr>
          <w:rFonts w:ascii="Tahoma" w:hAnsi="Tahoma" w:cs="Tahoma"/>
          <w:sz w:val="24"/>
          <w:szCs w:val="24"/>
        </w:rPr>
        <w:t>,</w:t>
      </w:r>
      <w:r w:rsidR="00040536" w:rsidRPr="00716EE2">
        <w:rPr>
          <w:rFonts w:ascii="Tahoma" w:hAnsi="Tahoma" w:cs="Tahoma"/>
          <w:sz w:val="24"/>
          <w:szCs w:val="24"/>
        </w:rPr>
        <w:t xml:space="preserve"> Economy</w:t>
      </w:r>
      <w:r w:rsidR="00040536">
        <w:rPr>
          <w:rFonts w:ascii="Tahoma" w:hAnsi="Tahoma" w:cs="Tahoma"/>
          <w:sz w:val="24"/>
          <w:szCs w:val="24"/>
        </w:rPr>
        <w:t>,</w:t>
      </w:r>
      <w:r w:rsidR="00040536" w:rsidRPr="00716EE2">
        <w:rPr>
          <w:rFonts w:ascii="Tahoma" w:hAnsi="Tahoma" w:cs="Tahoma"/>
          <w:sz w:val="24"/>
          <w:szCs w:val="24"/>
        </w:rPr>
        <w:t xml:space="preserve"> and Media. The MSND plenary II report details the form and substance as well as the execution of these envisaged reforms (Government of Lesotho, 2019a:47). Additionally, peacebuilding is part and parcel of this reform agenda, specifically the institutionalization of transitional and other justice processes. The National Reforms Authority (NRA) was established </w:t>
      </w:r>
      <w:r w:rsidR="00040536">
        <w:rPr>
          <w:rFonts w:ascii="Tahoma" w:hAnsi="Tahoma" w:cs="Tahoma"/>
          <w:sz w:val="24"/>
          <w:szCs w:val="24"/>
        </w:rPr>
        <w:t xml:space="preserve">in 2019 </w:t>
      </w:r>
      <w:r w:rsidR="00040536" w:rsidRPr="00716EE2">
        <w:rPr>
          <w:rFonts w:ascii="Tahoma" w:hAnsi="Tahoma" w:cs="Tahoma"/>
          <w:sz w:val="24"/>
          <w:szCs w:val="24"/>
        </w:rPr>
        <w:t>through an Act of Parliament to coordinate the implementation of these seven-pronged reform agenda. Significantly, the NRA was also tasked with the mandate of putting in place peacebuilding and transitional justice mechanisms aimed at conflict prevention, management and resolution needed for durable stability of the country</w:t>
      </w:r>
      <w:r w:rsidR="00040536">
        <w:rPr>
          <w:rFonts w:ascii="Tahoma" w:hAnsi="Tahoma" w:cs="Tahoma"/>
          <w:sz w:val="24"/>
          <w:szCs w:val="24"/>
        </w:rPr>
        <w:t xml:space="preserve"> (Government of Lesotho, 2019b)</w:t>
      </w:r>
      <w:r w:rsidR="00040536" w:rsidRPr="00716EE2">
        <w:rPr>
          <w:rFonts w:ascii="Tahoma" w:hAnsi="Tahoma" w:cs="Tahoma"/>
          <w:sz w:val="24"/>
          <w:szCs w:val="24"/>
        </w:rPr>
        <w:t xml:space="preserve">. </w:t>
      </w:r>
    </w:p>
    <w:p w14:paraId="3DC3B80C" w14:textId="7F46F497" w:rsidR="00040536" w:rsidRPr="00716EE2" w:rsidRDefault="00040536" w:rsidP="00040536">
      <w:pPr>
        <w:spacing w:line="360" w:lineRule="auto"/>
        <w:contextualSpacing/>
        <w:jc w:val="both"/>
        <w:rPr>
          <w:rFonts w:ascii="Tahoma" w:hAnsi="Tahoma" w:cs="Tahoma"/>
          <w:color w:val="000000" w:themeColor="text1"/>
          <w:sz w:val="24"/>
          <w:szCs w:val="24"/>
        </w:rPr>
      </w:pPr>
      <w:r w:rsidRPr="00716EE2">
        <w:rPr>
          <w:rFonts w:ascii="Tahoma" w:hAnsi="Tahoma" w:cs="Tahoma"/>
          <w:sz w:val="24"/>
          <w:szCs w:val="24"/>
        </w:rPr>
        <w:t>T</w:t>
      </w:r>
      <w:r w:rsidRPr="00716EE2">
        <w:rPr>
          <w:rFonts w:ascii="Tahoma" w:hAnsi="Tahoma" w:cs="Tahoma"/>
          <w:color w:val="000000" w:themeColor="text1"/>
          <w:sz w:val="24"/>
          <w:szCs w:val="24"/>
        </w:rPr>
        <w:t>he NRA organized a national multi-stakeholder consultative forum held at Manthabiseng Convention Centre in Maseru on 21-23 July 2021, supported by the government, the EU, AU, SADC and UNDP. The forum was convened under an appropriate theme: ‘The Path Towards Sustainable Peace, National Unity and Reconciliation: The Lesotho We Want’. This forum contributed immensely in galvanizing public opinion, providing victims and survivors of violence and human rights violations an opportunity to express their opinions and ensuring broad-based participation towards crafting an appropriate I4Ps framework and the TJ architecture for Lesotho.</w:t>
      </w:r>
    </w:p>
    <w:p w14:paraId="187881DF" w14:textId="4BC07478" w:rsidR="00040536" w:rsidRDefault="00040536" w:rsidP="00040536">
      <w:pPr>
        <w:spacing w:line="360" w:lineRule="auto"/>
        <w:jc w:val="both"/>
        <w:rPr>
          <w:rFonts w:ascii="Tahoma" w:hAnsi="Tahoma" w:cs="Tahoma"/>
          <w:sz w:val="24"/>
          <w:szCs w:val="24"/>
        </w:rPr>
      </w:pPr>
    </w:p>
    <w:p w14:paraId="621B15DC" w14:textId="260A3ABA" w:rsidR="00040536" w:rsidRPr="00716EE2" w:rsidRDefault="00040536" w:rsidP="00040536">
      <w:pPr>
        <w:spacing w:line="360" w:lineRule="auto"/>
        <w:jc w:val="both"/>
        <w:rPr>
          <w:rFonts w:ascii="Tahoma" w:hAnsi="Tahoma" w:cs="Tahoma"/>
          <w:sz w:val="24"/>
          <w:szCs w:val="24"/>
        </w:rPr>
      </w:pPr>
      <w:r>
        <w:rPr>
          <w:rFonts w:ascii="Tahoma" w:hAnsi="Tahoma" w:cs="Tahoma"/>
          <w:sz w:val="24"/>
          <w:szCs w:val="24"/>
        </w:rPr>
        <w:t>F</w:t>
      </w:r>
      <w:r w:rsidRPr="00716EE2">
        <w:rPr>
          <w:rFonts w:ascii="Tahoma" w:hAnsi="Tahoma" w:cs="Tahoma"/>
          <w:sz w:val="24"/>
          <w:szCs w:val="24"/>
        </w:rPr>
        <w:t>ollowing plenary and panel discussions as well as breakout sessions, the 2021 national forum advanced several recommendations aimed at institutionalizing peacebuilding, reconciliation and transitional justice include. These include the following:</w:t>
      </w:r>
    </w:p>
    <w:p w14:paraId="44228E8F" w14:textId="717BAD10" w:rsidR="00040536" w:rsidRPr="00716EE2" w:rsidRDefault="00DC7733" w:rsidP="00040536">
      <w:pPr>
        <w:pStyle w:val="ListParagraph"/>
        <w:widowControl/>
        <w:numPr>
          <w:ilvl w:val="0"/>
          <w:numId w:val="37"/>
        </w:numPr>
        <w:autoSpaceDE/>
        <w:autoSpaceDN/>
        <w:spacing w:after="160" w:line="360" w:lineRule="auto"/>
        <w:contextualSpacing/>
        <w:jc w:val="both"/>
        <w:rPr>
          <w:rFonts w:ascii="Tahoma" w:hAnsi="Tahoma" w:cs="Tahoma"/>
          <w:sz w:val="24"/>
          <w:szCs w:val="24"/>
        </w:rPr>
      </w:pPr>
      <w:r w:rsidRPr="00832922">
        <w:rPr>
          <w:rFonts w:ascii="Tahoma" w:hAnsi="Tahoma" w:cs="Tahoma"/>
          <w:noProof/>
          <w:sz w:val="24"/>
          <w:szCs w:val="24"/>
          <w:lang w:val="en-GB" w:eastAsia="en-GB"/>
        </w:rPr>
        <w:lastRenderedPageBreak/>
        <mc:AlternateContent>
          <mc:Choice Requires="wps">
            <w:drawing>
              <wp:anchor distT="45720" distB="45720" distL="114300" distR="114300" simplePos="0" relativeHeight="251661312" behindDoc="0" locked="0" layoutInCell="1" allowOverlap="1" wp14:anchorId="6B51D0AC" wp14:editId="367A1A53">
                <wp:simplePos x="0" y="0"/>
                <wp:positionH relativeFrom="page">
                  <wp:posOffset>4956175</wp:posOffset>
                </wp:positionH>
                <wp:positionV relativeFrom="paragraph">
                  <wp:posOffset>40005</wp:posOffset>
                </wp:positionV>
                <wp:extent cx="2580005" cy="3663950"/>
                <wp:effectExtent l="0" t="0" r="0" b="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0005" cy="3663950"/>
                        </a:xfrm>
                        <a:prstGeom prst="rect">
                          <a:avLst/>
                        </a:prstGeom>
                        <a:noFill/>
                        <a:ln w="9525">
                          <a:noFill/>
                          <a:miter lim="800000"/>
                          <a:headEnd/>
                          <a:tailEnd/>
                        </a:ln>
                      </wps:spPr>
                      <wps:txbx>
                        <w:txbxContent>
                          <w:p w14:paraId="06BA9B81" w14:textId="2A16A6B1" w:rsidR="00832922" w:rsidRDefault="00832922">
                            <w:r>
                              <w:rPr>
                                <w:noProof/>
                                <w:lang w:val="en-GB" w:eastAsia="en-GB"/>
                              </w:rPr>
                              <w:drawing>
                                <wp:inline distT="0" distB="0" distL="0" distR="0" wp14:anchorId="4205AA52" wp14:editId="0EE0868A">
                                  <wp:extent cx="2481649" cy="372214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hatGPT Image May 7, 2025, 11_59_27 AM.png"/>
                                          <pic:cNvPicPr/>
                                        </pic:nvPicPr>
                                        <pic:blipFill>
                                          <a:blip r:embed="rId9">
                                            <a:extLst>
                                              <a:ext uri="{28A0092B-C50C-407E-A947-70E740481C1C}">
                                                <a14:useLocalDpi xmlns:a14="http://schemas.microsoft.com/office/drawing/2010/main" val="0"/>
                                              </a:ext>
                                            </a:extLst>
                                          </a:blip>
                                          <a:stretch>
                                            <a:fillRect/>
                                          </a:stretch>
                                        </pic:blipFill>
                                        <pic:spPr>
                                          <a:xfrm>
                                            <a:off x="0" y="0"/>
                                            <a:ext cx="2491701" cy="373722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B51D0AC" id="_x0000_s1028" type="#_x0000_t202" style="position:absolute;left:0;text-align:left;margin-left:390.25pt;margin-top:3.15pt;width:203.15pt;height:288.5pt;z-index:25166131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" filled="f" stroked="f">
                <v:textbox>
                  <w:txbxContent>
                    <w:p w14:paraId="06BA9B81" w14:textId="2A16A6B1" w:rsidR="00832922" w:rsidRDefault="00832922">
                      <w:r>
                        <w:rPr>
                          <w:noProof/>
                          <w:lang w:val="en-GB" w:eastAsia="en-GB"/>
                        </w:rPr>
                        <w:drawing>
                          <wp:inline distT="0" distB="0" distL="0" distR="0" wp14:anchorId="4205AA52" wp14:editId="0EE0868A">
                            <wp:extent cx="2481649" cy="372214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hatGPT Image May 7, 2025, 11_59_27 AM.png"/>
                                    <pic:cNvPicPr/>
                                  </pic:nvPicPr>
                                  <pic:blipFill>
                                    <a:blip r:embed="rId10">
                                      <a:extLst>
                                        <a:ext uri="{28A0092B-C50C-407E-A947-70E740481C1C}">
                                          <a14:useLocalDpi xmlns:a14="http://schemas.microsoft.com/office/drawing/2010/main" val="0"/>
                                        </a:ext>
                                      </a:extLst>
                                    </a:blip>
                                    <a:stretch>
                                      <a:fillRect/>
                                    </a:stretch>
                                  </pic:blipFill>
                                  <pic:spPr>
                                    <a:xfrm>
                                      <a:off x="0" y="0"/>
                                      <a:ext cx="2491701" cy="3737222"/>
                                    </a:xfrm>
                                    <a:prstGeom prst="rect">
                                      <a:avLst/>
                                    </a:prstGeom>
                                  </pic:spPr>
                                </pic:pic>
                              </a:graphicData>
                            </a:graphic>
                          </wp:inline>
                        </w:drawing>
                      </w:r>
                    </w:p>
                  </w:txbxContent>
                </v:textbox>
                <w10:wrap type="square" anchorx="page"/>
              </v:shape>
            </w:pict>
          </mc:Fallback>
        </mc:AlternateContent>
      </w:r>
      <w:r w:rsidR="00040536" w:rsidRPr="00716EE2">
        <w:rPr>
          <w:rFonts w:ascii="Tahoma" w:hAnsi="Tahoma" w:cs="Tahoma"/>
          <w:sz w:val="24"/>
          <w:szCs w:val="24"/>
        </w:rPr>
        <w:t>The need to establish an inclusive national peace architecture decentralized to all the ten districts of the country;</w:t>
      </w:r>
    </w:p>
    <w:p w14:paraId="7CC3E487" w14:textId="77777777" w:rsidR="00040536" w:rsidRPr="00716EE2" w:rsidRDefault="00040536" w:rsidP="00040536">
      <w:pPr>
        <w:pStyle w:val="ListParagraph"/>
        <w:widowControl/>
        <w:numPr>
          <w:ilvl w:val="0"/>
          <w:numId w:val="37"/>
        </w:numPr>
        <w:autoSpaceDE/>
        <w:autoSpaceDN/>
        <w:spacing w:after="160" w:line="360" w:lineRule="auto"/>
        <w:contextualSpacing/>
        <w:jc w:val="both"/>
        <w:rPr>
          <w:rFonts w:ascii="Tahoma" w:hAnsi="Tahoma" w:cs="Tahoma"/>
          <w:sz w:val="24"/>
          <w:szCs w:val="24"/>
        </w:rPr>
      </w:pPr>
      <w:r w:rsidRPr="00716EE2">
        <w:rPr>
          <w:rFonts w:ascii="Tahoma" w:hAnsi="Tahoma" w:cs="Tahoma"/>
          <w:sz w:val="24"/>
          <w:szCs w:val="24"/>
        </w:rPr>
        <w:t>The need to establish an all-encompassing transitional justice commission suitable to the Lesotho context to drive reconciliation, peacebuilding, reparation, and compensation without compromising justice and without promoting impunity;</w:t>
      </w:r>
    </w:p>
    <w:p w14:paraId="0223146B" w14:textId="77777777" w:rsidR="00040536" w:rsidRPr="00716EE2" w:rsidRDefault="00040536" w:rsidP="00040536">
      <w:pPr>
        <w:pStyle w:val="ListParagraph"/>
        <w:widowControl/>
        <w:numPr>
          <w:ilvl w:val="0"/>
          <w:numId w:val="37"/>
        </w:numPr>
        <w:autoSpaceDE/>
        <w:autoSpaceDN/>
        <w:spacing w:after="160" w:line="360" w:lineRule="auto"/>
        <w:contextualSpacing/>
        <w:jc w:val="both"/>
        <w:rPr>
          <w:rFonts w:ascii="Tahoma" w:hAnsi="Tahoma" w:cs="Tahoma"/>
          <w:sz w:val="24"/>
          <w:szCs w:val="24"/>
        </w:rPr>
      </w:pPr>
      <w:r w:rsidRPr="00716EE2">
        <w:rPr>
          <w:rFonts w:ascii="Tahoma" w:hAnsi="Tahoma" w:cs="Tahoma"/>
          <w:sz w:val="24"/>
          <w:szCs w:val="24"/>
        </w:rPr>
        <w:t>Lesotho’s transitional justice architecture should incorporate existing traditional justice and peacebuilding structures, redistributive approaches, memorialization approaches and judicial approaches;</w:t>
      </w:r>
    </w:p>
    <w:p w14:paraId="16D30CA3" w14:textId="77777777" w:rsidR="00040536" w:rsidRPr="00716EE2" w:rsidRDefault="00040536" w:rsidP="00040536">
      <w:pPr>
        <w:pStyle w:val="ListParagraph"/>
        <w:widowControl/>
        <w:numPr>
          <w:ilvl w:val="0"/>
          <w:numId w:val="37"/>
        </w:numPr>
        <w:autoSpaceDE/>
        <w:autoSpaceDN/>
        <w:spacing w:after="160" w:line="360" w:lineRule="auto"/>
        <w:contextualSpacing/>
        <w:jc w:val="both"/>
        <w:rPr>
          <w:rFonts w:ascii="Tahoma" w:hAnsi="Tahoma" w:cs="Tahoma"/>
          <w:sz w:val="24"/>
          <w:szCs w:val="24"/>
        </w:rPr>
      </w:pPr>
      <w:r w:rsidRPr="00716EE2">
        <w:rPr>
          <w:rFonts w:ascii="Tahoma" w:hAnsi="Tahoma" w:cs="Tahoma"/>
          <w:sz w:val="24"/>
          <w:szCs w:val="24"/>
        </w:rPr>
        <w:t>Broad-based consultations with victims and survivors of human rights violations and other key stakeholders should form the basis of the legal framework for the transitional justice mechanism to ensure that truth is known, justice is served, victims get reparation and amnesty is recommended where it is due;</w:t>
      </w:r>
    </w:p>
    <w:p w14:paraId="399892CC" w14:textId="77777777" w:rsidR="00040536" w:rsidRPr="00716EE2" w:rsidRDefault="00040536" w:rsidP="00040536">
      <w:pPr>
        <w:pStyle w:val="ListParagraph"/>
        <w:widowControl/>
        <w:numPr>
          <w:ilvl w:val="0"/>
          <w:numId w:val="37"/>
        </w:numPr>
        <w:autoSpaceDE/>
        <w:autoSpaceDN/>
        <w:spacing w:after="160" w:line="360" w:lineRule="auto"/>
        <w:contextualSpacing/>
        <w:jc w:val="both"/>
        <w:rPr>
          <w:rFonts w:ascii="Tahoma" w:hAnsi="Tahoma" w:cs="Tahoma"/>
          <w:sz w:val="24"/>
          <w:szCs w:val="24"/>
        </w:rPr>
      </w:pPr>
      <w:r w:rsidRPr="00716EE2">
        <w:rPr>
          <w:rFonts w:ascii="Tahoma" w:hAnsi="Tahoma" w:cs="Tahoma"/>
          <w:sz w:val="24"/>
          <w:szCs w:val="24"/>
        </w:rPr>
        <w:t>The need to convene a Victims Conference and that victims and survivors should be adequately compensated for their suffering;</w:t>
      </w:r>
    </w:p>
    <w:p w14:paraId="2D4474D3" w14:textId="77777777" w:rsidR="00040536" w:rsidRPr="00716EE2" w:rsidRDefault="00040536" w:rsidP="00040536">
      <w:pPr>
        <w:pStyle w:val="ListParagraph"/>
        <w:widowControl/>
        <w:numPr>
          <w:ilvl w:val="0"/>
          <w:numId w:val="37"/>
        </w:numPr>
        <w:autoSpaceDE/>
        <w:autoSpaceDN/>
        <w:spacing w:after="160" w:line="360" w:lineRule="auto"/>
        <w:contextualSpacing/>
        <w:jc w:val="both"/>
        <w:rPr>
          <w:rFonts w:ascii="Tahoma" w:hAnsi="Tahoma" w:cs="Tahoma"/>
          <w:sz w:val="24"/>
          <w:szCs w:val="24"/>
        </w:rPr>
      </w:pPr>
      <w:r w:rsidRPr="00716EE2">
        <w:rPr>
          <w:rFonts w:ascii="Tahoma" w:hAnsi="Tahoma" w:cs="Tahoma"/>
          <w:sz w:val="24"/>
          <w:szCs w:val="24"/>
        </w:rPr>
        <w:t>Consensus emerged among participants that the time-frame for truth-seeking, reparations, compensation, and accountability should be 1965-to date; and</w:t>
      </w:r>
    </w:p>
    <w:p w14:paraId="36429EE4" w14:textId="77777777" w:rsidR="00040536" w:rsidRPr="00716EE2" w:rsidRDefault="00040536" w:rsidP="00040536">
      <w:pPr>
        <w:pStyle w:val="ListParagraph"/>
        <w:widowControl/>
        <w:numPr>
          <w:ilvl w:val="0"/>
          <w:numId w:val="37"/>
        </w:numPr>
        <w:autoSpaceDE/>
        <w:autoSpaceDN/>
        <w:spacing w:after="160" w:line="360" w:lineRule="auto"/>
        <w:contextualSpacing/>
        <w:jc w:val="both"/>
        <w:rPr>
          <w:rFonts w:ascii="Tahoma" w:hAnsi="Tahoma" w:cs="Tahoma"/>
          <w:sz w:val="24"/>
          <w:szCs w:val="24"/>
        </w:rPr>
      </w:pPr>
      <w:r w:rsidRPr="00716EE2">
        <w:rPr>
          <w:rFonts w:ascii="Tahoma" w:hAnsi="Tahoma" w:cs="Tahoma"/>
          <w:sz w:val="24"/>
          <w:szCs w:val="24"/>
        </w:rPr>
        <w:t>Reparations should include offering employment to victims or their off-spring, financial compensation, returning land to those who are dispossessed of their land; offering counselling and training, providing compensation to the Lesotho Liberation Army (LLA)</w:t>
      </w:r>
      <w:r>
        <w:rPr>
          <w:rFonts w:ascii="Tahoma" w:hAnsi="Tahoma" w:cs="Tahoma"/>
          <w:sz w:val="24"/>
          <w:szCs w:val="24"/>
        </w:rPr>
        <w:t xml:space="preserve"> (NRA, 2021)</w:t>
      </w:r>
      <w:r w:rsidRPr="00716EE2">
        <w:rPr>
          <w:rFonts w:ascii="Tahoma" w:hAnsi="Tahoma" w:cs="Tahoma"/>
          <w:sz w:val="24"/>
          <w:szCs w:val="24"/>
        </w:rPr>
        <w:t xml:space="preserve">. </w:t>
      </w:r>
    </w:p>
    <w:p w14:paraId="34D65B4F" w14:textId="6B08CD99" w:rsidR="00040536" w:rsidRPr="00716EE2" w:rsidRDefault="00A273CE" w:rsidP="00040536">
      <w:pPr>
        <w:spacing w:line="360" w:lineRule="auto"/>
        <w:jc w:val="both"/>
        <w:rPr>
          <w:rFonts w:ascii="Tahoma" w:hAnsi="Tahoma" w:cs="Tahoma"/>
          <w:sz w:val="24"/>
          <w:szCs w:val="24"/>
        </w:rPr>
      </w:pPr>
      <w:r w:rsidRPr="00A273CE">
        <w:rPr>
          <w:rFonts w:ascii="Tahoma" w:hAnsi="Tahoma" w:cs="Tahoma"/>
          <w:noProof/>
          <w:sz w:val="24"/>
          <w:szCs w:val="24"/>
          <w:lang w:val="en-GB" w:eastAsia="en-GB"/>
        </w:rPr>
        <w:lastRenderedPageBreak/>
        <mc:AlternateContent>
          <mc:Choice Requires="wps">
            <w:drawing>
              <wp:anchor distT="45720" distB="45720" distL="114300" distR="114300" simplePos="0" relativeHeight="251665408" behindDoc="0" locked="0" layoutInCell="1" allowOverlap="1" wp14:anchorId="4BC4443E" wp14:editId="3848DA0A">
                <wp:simplePos x="0" y="0"/>
                <wp:positionH relativeFrom="page">
                  <wp:align>right</wp:align>
                </wp:positionH>
                <wp:positionV relativeFrom="paragraph">
                  <wp:posOffset>287148</wp:posOffset>
                </wp:positionV>
                <wp:extent cx="2381885" cy="3004185"/>
                <wp:effectExtent l="0" t="0" r="0" b="5715"/>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885" cy="3004185"/>
                        </a:xfrm>
                        <a:prstGeom prst="rect">
                          <a:avLst/>
                        </a:prstGeom>
                        <a:noFill/>
                        <a:ln w="9525">
                          <a:noFill/>
                          <a:miter lim="800000"/>
                          <a:headEnd/>
                          <a:tailEnd/>
                        </a:ln>
                      </wps:spPr>
                      <wps:txbx>
                        <w:txbxContent>
                          <w:p w14:paraId="6CEF16B7" w14:textId="3B30DD63" w:rsidR="00A273CE" w:rsidRDefault="00BD796D">
                            <w:r>
                              <w:rPr>
                                <w:noProof/>
                                <w:lang w:val="en-GB" w:eastAsia="en-GB"/>
                              </w:rPr>
                              <w:drawing>
                                <wp:inline distT="0" distB="0" distL="0" distR="0" wp14:anchorId="5CA9E6AB" wp14:editId="724709C6">
                                  <wp:extent cx="2020901" cy="303102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hatGPT Image May 7, 2025, 12_49_14 PM.png"/>
                                          <pic:cNvPicPr/>
                                        </pic:nvPicPr>
                                        <pic:blipFill>
                                          <a:blip r:embed="rId11">
                                            <a:extLst>
                                              <a:ext uri="{28A0092B-C50C-407E-A947-70E740481C1C}">
                                                <a14:useLocalDpi xmlns:a14="http://schemas.microsoft.com/office/drawing/2010/main" val="0"/>
                                              </a:ext>
                                            </a:extLst>
                                          </a:blip>
                                          <a:stretch>
                                            <a:fillRect/>
                                          </a:stretch>
                                        </pic:blipFill>
                                        <pic:spPr>
                                          <a:xfrm>
                                            <a:off x="0" y="0"/>
                                            <a:ext cx="2028021" cy="3041699"/>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BC4443E" id="_x0000_s1029" type="#_x0000_t202" style="position:absolute;left:0;text-align:left;margin-left:136.35pt;margin-top:22.6pt;width:187.55pt;height:236.55pt;z-index:251665408;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" filled="f" stroked="f">
                <v:textbox>
                  <w:txbxContent>
                    <w:p w14:paraId="6CEF16B7" w14:textId="3B30DD63" w:rsidR="00A273CE" w:rsidRDefault="00BD796D">
                      <w:r>
                        <w:rPr>
                          <w:noProof/>
                          <w:lang w:val="en-GB" w:eastAsia="en-GB"/>
                        </w:rPr>
                        <w:drawing>
                          <wp:inline distT="0" distB="0" distL="0" distR="0" wp14:anchorId="5CA9E6AB" wp14:editId="724709C6">
                            <wp:extent cx="2020901" cy="303102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hatGPT Image May 7, 2025, 12_49_14 PM.png"/>
                                    <pic:cNvPicPr/>
                                  </pic:nvPicPr>
                                  <pic:blipFill>
                                    <a:blip r:embed="rId12">
                                      <a:extLst>
                                        <a:ext uri="{28A0092B-C50C-407E-A947-70E740481C1C}">
                                          <a14:useLocalDpi xmlns:a14="http://schemas.microsoft.com/office/drawing/2010/main" val="0"/>
                                        </a:ext>
                                      </a:extLst>
                                    </a:blip>
                                    <a:stretch>
                                      <a:fillRect/>
                                    </a:stretch>
                                  </pic:blipFill>
                                  <pic:spPr>
                                    <a:xfrm>
                                      <a:off x="0" y="0"/>
                                      <a:ext cx="2028021" cy="3041699"/>
                                    </a:xfrm>
                                    <a:prstGeom prst="rect">
                                      <a:avLst/>
                                    </a:prstGeom>
                                  </pic:spPr>
                                </pic:pic>
                              </a:graphicData>
                            </a:graphic>
                          </wp:inline>
                        </w:drawing>
                      </w:r>
                    </w:p>
                  </w:txbxContent>
                </v:textbox>
                <w10:wrap type="square" anchorx="page"/>
              </v:shape>
            </w:pict>
          </mc:Fallback>
        </mc:AlternateContent>
      </w:r>
      <w:r w:rsidR="00040536" w:rsidRPr="00716EE2">
        <w:rPr>
          <w:rFonts w:ascii="Tahoma" w:hAnsi="Tahoma" w:cs="Tahoma"/>
          <w:sz w:val="24"/>
          <w:szCs w:val="24"/>
        </w:rPr>
        <w:t xml:space="preserve">At the time of this consultative forum, the government had tabled a bill before the National Assembly styled the National Peace and Unity Bill, 2021. This Bill had triggered enormous controversy among various stakeholders. Essentially, the Bill had four main shortcomings. Firstly, it was perceived to lack broad-based participation of key stakeholders especially the victims and survivors, as it was not preceded by multi-stakeholder consultations. Second, it was perceived </w:t>
      </w:r>
      <w:r w:rsidR="00040536">
        <w:rPr>
          <w:rFonts w:ascii="Tahoma" w:hAnsi="Tahoma" w:cs="Tahoma"/>
          <w:sz w:val="24"/>
          <w:szCs w:val="24"/>
        </w:rPr>
        <w:t>to be aimed at</w:t>
      </w:r>
      <w:r w:rsidR="00040536" w:rsidRPr="00716EE2">
        <w:rPr>
          <w:rFonts w:ascii="Tahoma" w:hAnsi="Tahoma" w:cs="Tahoma"/>
          <w:sz w:val="24"/>
          <w:szCs w:val="24"/>
        </w:rPr>
        <w:t xml:space="preserve"> exonerat</w:t>
      </w:r>
      <w:r w:rsidR="00040536">
        <w:rPr>
          <w:rFonts w:ascii="Tahoma" w:hAnsi="Tahoma" w:cs="Tahoma"/>
          <w:sz w:val="24"/>
          <w:szCs w:val="24"/>
        </w:rPr>
        <w:t>ing</w:t>
      </w:r>
      <w:r w:rsidR="00040536" w:rsidRPr="00716EE2">
        <w:rPr>
          <w:rFonts w:ascii="Tahoma" w:hAnsi="Tahoma" w:cs="Tahoma"/>
          <w:sz w:val="24"/>
          <w:szCs w:val="24"/>
        </w:rPr>
        <w:t xml:space="preserve"> perpetrators of human rights violations, especially those wielding executive power, at the expense of victims and survivors. Third, the government of the day had submitted the Bill directly to the National Assembly by-passing the NRA despite the 2019 NRA Act specifying this task as one of the latter’s functions. Fourth, and finally, the form and substance of the Bill was largely not in full compliance with the full range of core principles of the 2019 AUTJP. Subsequently, this Bill never saw the light of day and was not promulgated into law.   </w:t>
      </w:r>
    </w:p>
    <w:p w14:paraId="1E79AE4F" w14:textId="77777777" w:rsidR="00040536" w:rsidRPr="00716EE2" w:rsidRDefault="00040536" w:rsidP="00040536">
      <w:pPr>
        <w:pStyle w:val="ListParagraph"/>
        <w:widowControl/>
        <w:numPr>
          <w:ilvl w:val="0"/>
          <w:numId w:val="36"/>
        </w:numPr>
        <w:autoSpaceDE/>
        <w:autoSpaceDN/>
        <w:spacing w:after="160" w:line="360" w:lineRule="auto"/>
        <w:contextualSpacing/>
        <w:jc w:val="both"/>
        <w:rPr>
          <w:rFonts w:ascii="Tahoma" w:hAnsi="Tahoma" w:cs="Tahoma"/>
          <w:b/>
          <w:bCs/>
          <w:sz w:val="24"/>
          <w:szCs w:val="24"/>
        </w:rPr>
      </w:pPr>
      <w:r w:rsidRPr="00716EE2">
        <w:rPr>
          <w:rFonts w:ascii="Tahoma" w:hAnsi="Tahoma" w:cs="Tahoma"/>
          <w:b/>
          <w:bCs/>
          <w:sz w:val="24"/>
          <w:szCs w:val="24"/>
        </w:rPr>
        <w:t>Implications and Policy Recommendations</w:t>
      </w:r>
    </w:p>
    <w:p w14:paraId="3D20C08D" w14:textId="77777777" w:rsidR="00040536" w:rsidRPr="00716EE2" w:rsidRDefault="00040536" w:rsidP="00040536">
      <w:pPr>
        <w:spacing w:line="360" w:lineRule="auto"/>
        <w:contextualSpacing/>
        <w:jc w:val="both"/>
        <w:rPr>
          <w:rFonts w:ascii="Tahoma" w:hAnsi="Tahoma" w:cs="Tahoma"/>
          <w:sz w:val="24"/>
          <w:szCs w:val="24"/>
          <w:lang w:val="en-GB"/>
        </w:rPr>
      </w:pPr>
      <w:r w:rsidRPr="00716EE2">
        <w:rPr>
          <w:rFonts w:ascii="Tahoma" w:hAnsi="Tahoma" w:cs="Tahoma"/>
          <w:sz w:val="24"/>
          <w:szCs w:val="24"/>
          <w:lang w:val="en-GB"/>
        </w:rPr>
        <w:t>This p</w:t>
      </w:r>
      <w:r>
        <w:rPr>
          <w:rFonts w:ascii="Tahoma" w:hAnsi="Tahoma" w:cs="Tahoma"/>
          <w:sz w:val="24"/>
          <w:szCs w:val="24"/>
          <w:lang w:val="en-GB"/>
        </w:rPr>
        <w:t>olicy brief</w:t>
      </w:r>
      <w:r w:rsidRPr="00716EE2">
        <w:rPr>
          <w:rFonts w:ascii="Tahoma" w:hAnsi="Tahoma" w:cs="Tahoma"/>
          <w:sz w:val="24"/>
          <w:szCs w:val="24"/>
          <w:lang w:val="en-GB"/>
        </w:rPr>
        <w:t xml:space="preserve"> makes a case for various stakeholders to make deliberate efforts to uproot the culture of violence in Lesotho. It shows that violent conflicts and instability in the country undermine socio-economic development, sustainable peace and democratic governance. They also lead to human and peoples’ rights violations, with the hardest-hit social groups being women and girls, children and youth, as well as persons with disabilities and older persons. </w:t>
      </w:r>
    </w:p>
    <w:p w14:paraId="2C87AF60" w14:textId="77777777" w:rsidR="00040536" w:rsidRPr="00716EE2" w:rsidRDefault="00040536" w:rsidP="00040536">
      <w:pPr>
        <w:spacing w:line="360" w:lineRule="auto"/>
        <w:contextualSpacing/>
        <w:jc w:val="both"/>
        <w:rPr>
          <w:rFonts w:ascii="Tahoma" w:hAnsi="Tahoma" w:cs="Tahoma"/>
          <w:sz w:val="24"/>
          <w:szCs w:val="24"/>
          <w:lang w:val="en-GB"/>
        </w:rPr>
      </w:pPr>
    </w:p>
    <w:p w14:paraId="6C5FBAA8" w14:textId="77777777" w:rsidR="00040536" w:rsidRDefault="00040536" w:rsidP="00040536">
      <w:pPr>
        <w:spacing w:line="360" w:lineRule="auto"/>
        <w:contextualSpacing/>
        <w:jc w:val="both"/>
        <w:rPr>
          <w:rFonts w:ascii="Tahoma" w:hAnsi="Tahoma" w:cs="Tahoma"/>
          <w:sz w:val="24"/>
          <w:szCs w:val="24"/>
          <w:lang w:val="en-GB"/>
        </w:rPr>
      </w:pPr>
      <w:r w:rsidRPr="00716EE2">
        <w:rPr>
          <w:rFonts w:ascii="Tahoma" w:hAnsi="Tahoma" w:cs="Tahoma"/>
          <w:sz w:val="24"/>
          <w:szCs w:val="24"/>
          <w:lang w:val="en-GB"/>
        </w:rPr>
        <w:t xml:space="preserve">Six </w:t>
      </w:r>
      <w:r>
        <w:rPr>
          <w:rFonts w:ascii="Tahoma" w:hAnsi="Tahoma" w:cs="Tahoma"/>
          <w:sz w:val="24"/>
          <w:szCs w:val="24"/>
          <w:lang w:val="en-GB"/>
        </w:rPr>
        <w:t>policy recommendations are in order</w:t>
      </w:r>
      <w:r w:rsidRPr="00716EE2">
        <w:rPr>
          <w:rFonts w:ascii="Tahoma" w:hAnsi="Tahoma" w:cs="Tahoma"/>
          <w:sz w:val="24"/>
          <w:szCs w:val="24"/>
          <w:lang w:val="en-GB"/>
        </w:rPr>
        <w:t>.</w:t>
      </w:r>
      <w:r>
        <w:rPr>
          <w:rFonts w:ascii="Tahoma" w:hAnsi="Tahoma" w:cs="Tahoma"/>
          <w:sz w:val="24"/>
          <w:szCs w:val="24"/>
          <w:lang w:val="en-GB"/>
        </w:rPr>
        <w:t xml:space="preserve"> </w:t>
      </w:r>
      <w:r w:rsidRPr="00716EE2">
        <w:rPr>
          <w:rFonts w:ascii="Tahoma" w:hAnsi="Tahoma" w:cs="Tahoma"/>
          <w:sz w:val="24"/>
          <w:szCs w:val="24"/>
          <w:lang w:val="en-GB"/>
        </w:rPr>
        <w:t xml:space="preserve">First, state and non-state actors must develop a national </w:t>
      </w:r>
      <w:r>
        <w:rPr>
          <w:rFonts w:ascii="Tahoma" w:hAnsi="Tahoma" w:cs="Tahoma"/>
          <w:sz w:val="24"/>
          <w:szCs w:val="24"/>
          <w:lang w:val="en-GB"/>
        </w:rPr>
        <w:t>TJ</w:t>
      </w:r>
      <w:r w:rsidRPr="00716EE2">
        <w:rPr>
          <w:rFonts w:ascii="Tahoma" w:hAnsi="Tahoma" w:cs="Tahoma"/>
          <w:sz w:val="24"/>
          <w:szCs w:val="24"/>
          <w:lang w:val="en-GB"/>
        </w:rPr>
        <w:t xml:space="preserve"> policy, </w:t>
      </w:r>
      <w:r>
        <w:rPr>
          <w:rFonts w:ascii="Tahoma" w:hAnsi="Tahoma" w:cs="Tahoma"/>
          <w:sz w:val="24"/>
          <w:szCs w:val="24"/>
          <w:lang w:val="en-GB"/>
        </w:rPr>
        <w:t xml:space="preserve">aligned with the AUTJP, and </w:t>
      </w:r>
      <w:r w:rsidRPr="00716EE2">
        <w:rPr>
          <w:rFonts w:ascii="Tahoma" w:hAnsi="Tahoma" w:cs="Tahoma"/>
          <w:sz w:val="24"/>
          <w:szCs w:val="24"/>
          <w:lang w:val="en-GB"/>
        </w:rPr>
        <w:t xml:space="preserve">ensuring the participation and representation of victims/survivors. Second, </w:t>
      </w:r>
      <w:r>
        <w:rPr>
          <w:rFonts w:ascii="Tahoma" w:hAnsi="Tahoma" w:cs="Tahoma"/>
          <w:sz w:val="24"/>
          <w:szCs w:val="24"/>
          <w:lang w:val="en-GB"/>
        </w:rPr>
        <w:t>Parliament must</w:t>
      </w:r>
      <w:r w:rsidRPr="00716EE2">
        <w:rPr>
          <w:rFonts w:ascii="Tahoma" w:hAnsi="Tahoma" w:cs="Tahoma"/>
          <w:sz w:val="24"/>
          <w:szCs w:val="24"/>
          <w:lang w:val="en-GB"/>
        </w:rPr>
        <w:t xml:space="preserve"> promulgat</w:t>
      </w:r>
      <w:r>
        <w:rPr>
          <w:rFonts w:ascii="Tahoma" w:hAnsi="Tahoma" w:cs="Tahoma"/>
          <w:sz w:val="24"/>
          <w:szCs w:val="24"/>
          <w:lang w:val="en-GB"/>
        </w:rPr>
        <w:t>e</w:t>
      </w:r>
      <w:r w:rsidRPr="00716EE2">
        <w:rPr>
          <w:rFonts w:ascii="Tahoma" w:hAnsi="Tahoma" w:cs="Tahoma"/>
          <w:sz w:val="24"/>
          <w:szCs w:val="24"/>
          <w:lang w:val="en-GB"/>
        </w:rPr>
        <w:t xml:space="preserve"> of national </w:t>
      </w:r>
      <w:r>
        <w:rPr>
          <w:rFonts w:ascii="Tahoma" w:hAnsi="Tahoma" w:cs="Tahoma"/>
          <w:sz w:val="24"/>
          <w:szCs w:val="24"/>
          <w:lang w:val="en-GB"/>
        </w:rPr>
        <w:t xml:space="preserve">TJ </w:t>
      </w:r>
      <w:r w:rsidRPr="00716EE2">
        <w:rPr>
          <w:rFonts w:ascii="Tahoma" w:hAnsi="Tahoma" w:cs="Tahoma"/>
          <w:sz w:val="24"/>
          <w:szCs w:val="24"/>
          <w:lang w:val="en-GB"/>
        </w:rPr>
        <w:t xml:space="preserve">legislation. Third, government must establish the requisite peacebuilding and </w:t>
      </w:r>
      <w:r>
        <w:rPr>
          <w:rFonts w:ascii="Tahoma" w:hAnsi="Tahoma" w:cs="Tahoma"/>
          <w:sz w:val="24"/>
          <w:szCs w:val="24"/>
          <w:lang w:val="en-GB"/>
        </w:rPr>
        <w:t>TJ</w:t>
      </w:r>
      <w:r w:rsidRPr="00716EE2">
        <w:rPr>
          <w:rFonts w:ascii="Tahoma" w:hAnsi="Tahoma" w:cs="Tahoma"/>
          <w:sz w:val="24"/>
          <w:szCs w:val="24"/>
          <w:lang w:val="en-GB"/>
        </w:rPr>
        <w:t xml:space="preserve"> mechanisms. Fourth, resources must be mobilised for these mechanisms so that they are operationalised. Fifth, to function effectively and efficiently, the mechanisms must be insulated from political interference and undue influence. Finally, it is essential that victims/survivors are organised into a network or association so that they </w:t>
      </w:r>
      <w:r w:rsidRPr="00716EE2">
        <w:rPr>
          <w:rFonts w:ascii="Tahoma" w:hAnsi="Tahoma" w:cs="Tahoma"/>
          <w:sz w:val="24"/>
          <w:szCs w:val="24"/>
          <w:lang w:val="en-GB"/>
        </w:rPr>
        <w:lastRenderedPageBreak/>
        <w:t xml:space="preserve">contribute meaningfully to all TJ processes. But for this to happen the culture of impunity and fear in the country has to be eradicated. </w:t>
      </w:r>
    </w:p>
    <w:p w14:paraId="38B7CC63" w14:textId="77777777" w:rsidR="004B5AEB" w:rsidRDefault="004B5AEB" w:rsidP="004B5AEB">
      <w:pPr>
        <w:widowControl/>
        <w:autoSpaceDE/>
        <w:autoSpaceDN/>
        <w:spacing w:after="160" w:line="360" w:lineRule="auto"/>
        <w:contextualSpacing/>
        <w:jc w:val="both"/>
        <w:rPr>
          <w:rFonts w:ascii="Tahoma" w:hAnsi="Tahoma" w:cs="Tahoma"/>
          <w:b/>
          <w:bCs/>
          <w:sz w:val="24"/>
          <w:szCs w:val="24"/>
        </w:rPr>
      </w:pPr>
    </w:p>
    <w:p w14:paraId="2AA7835C" w14:textId="73F92971" w:rsidR="00040536" w:rsidRPr="004B5AEB" w:rsidRDefault="00040536" w:rsidP="004B5AEB">
      <w:pPr>
        <w:widowControl/>
        <w:autoSpaceDE/>
        <w:autoSpaceDN/>
        <w:spacing w:after="160" w:line="360" w:lineRule="auto"/>
        <w:contextualSpacing/>
        <w:jc w:val="both"/>
        <w:rPr>
          <w:rFonts w:ascii="Tahoma" w:hAnsi="Tahoma" w:cs="Tahoma"/>
          <w:b/>
          <w:bCs/>
          <w:sz w:val="24"/>
          <w:szCs w:val="24"/>
        </w:rPr>
      </w:pPr>
      <w:r w:rsidRPr="004B5AEB">
        <w:rPr>
          <w:rFonts w:ascii="Tahoma" w:hAnsi="Tahoma" w:cs="Tahoma"/>
          <w:b/>
          <w:bCs/>
          <w:sz w:val="24"/>
          <w:szCs w:val="24"/>
        </w:rPr>
        <w:t>Acknowledgements</w:t>
      </w:r>
    </w:p>
    <w:p w14:paraId="69D78556" w14:textId="77777777" w:rsidR="004908C1" w:rsidRPr="00BA15B0" w:rsidRDefault="004908C1" w:rsidP="004908C1">
      <w:pPr>
        <w:spacing w:line="360" w:lineRule="auto"/>
        <w:jc w:val="both"/>
        <w:rPr>
          <w:b/>
          <w:lang w:val="en-GB"/>
        </w:rPr>
      </w:pPr>
      <w:r w:rsidRPr="004908C1">
        <w:rPr>
          <w:rFonts w:ascii="Tahoma" w:hAnsi="Tahoma" w:cs="Tahoma"/>
          <w:sz w:val="24"/>
          <w:szCs w:val="24"/>
          <w:lang w:val="en-GB"/>
        </w:rPr>
        <w:t>We sincerely extend our appreciation to the three Research Assistants at the Strategic Institute for Research and Dialogue (SIRD)—Mrs. Sophy Sutha, Ms. Motena Khuto, and Ms. Mats’ele Sesoane—for their dedicated support during the public consultations and for their invaluable assistance during the process of data collection, collation and transcription of the rich conversations during in-district public consultations</w:t>
      </w:r>
      <w:r w:rsidRPr="00BA15B0">
        <w:rPr>
          <w:lang w:val="en-GB"/>
        </w:rPr>
        <w:t>.</w:t>
      </w:r>
    </w:p>
    <w:p w14:paraId="7C818221" w14:textId="77777777" w:rsidR="004B5AEB" w:rsidRPr="004908C1" w:rsidRDefault="004B5AEB" w:rsidP="00057B6D">
      <w:pPr>
        <w:widowControl/>
        <w:autoSpaceDE/>
        <w:autoSpaceDN/>
        <w:spacing w:after="160" w:line="360" w:lineRule="auto"/>
        <w:contextualSpacing/>
        <w:jc w:val="both"/>
        <w:rPr>
          <w:rFonts w:ascii="Tahoma" w:hAnsi="Tahoma" w:cs="Tahoma"/>
          <w:b/>
          <w:bCs/>
          <w:sz w:val="24"/>
          <w:szCs w:val="24"/>
          <w:lang w:val="en-GB"/>
        </w:rPr>
      </w:pPr>
    </w:p>
    <w:p w14:paraId="3F0884FE" w14:textId="7E28C103" w:rsidR="00040536" w:rsidRPr="00057B6D" w:rsidRDefault="00040536" w:rsidP="00057B6D">
      <w:pPr>
        <w:widowControl/>
        <w:autoSpaceDE/>
        <w:autoSpaceDN/>
        <w:spacing w:after="160" w:line="360" w:lineRule="auto"/>
        <w:contextualSpacing/>
        <w:jc w:val="both"/>
        <w:rPr>
          <w:rFonts w:ascii="Tahoma" w:hAnsi="Tahoma" w:cs="Tahoma"/>
          <w:b/>
          <w:bCs/>
          <w:sz w:val="24"/>
          <w:szCs w:val="24"/>
        </w:rPr>
      </w:pPr>
      <w:r w:rsidRPr="00057B6D">
        <w:rPr>
          <w:rFonts w:ascii="Tahoma" w:hAnsi="Tahoma" w:cs="Tahoma"/>
          <w:b/>
          <w:bCs/>
          <w:sz w:val="24"/>
          <w:szCs w:val="24"/>
        </w:rPr>
        <w:t>References</w:t>
      </w:r>
    </w:p>
    <w:p w14:paraId="44E2CCF4" w14:textId="77777777" w:rsidR="00040536" w:rsidRDefault="00040536" w:rsidP="00475B12">
      <w:pPr>
        <w:spacing w:line="360" w:lineRule="auto"/>
        <w:ind w:left="720" w:hanging="720"/>
        <w:jc w:val="both"/>
        <w:rPr>
          <w:rFonts w:ascii="Tahoma" w:hAnsi="Tahoma" w:cs="Tahoma"/>
          <w:sz w:val="24"/>
          <w:szCs w:val="24"/>
        </w:rPr>
      </w:pPr>
      <w:r w:rsidRPr="00BD5648">
        <w:rPr>
          <w:rFonts w:ascii="Tahoma" w:hAnsi="Tahoma" w:cs="Tahoma"/>
          <w:sz w:val="24"/>
          <w:szCs w:val="24"/>
        </w:rPr>
        <w:t>Government of Lesotho .2017. The Lesotho We Want: Dialogue and Reform for National Transformation, Maseru, Lesotho.</w:t>
      </w:r>
    </w:p>
    <w:p w14:paraId="4BDD8DD2" w14:textId="77777777" w:rsidR="00040536" w:rsidRDefault="00040536" w:rsidP="00475B12">
      <w:pPr>
        <w:spacing w:line="360" w:lineRule="auto"/>
        <w:ind w:left="720" w:hanging="720"/>
        <w:jc w:val="both"/>
        <w:rPr>
          <w:rFonts w:ascii="Tahoma" w:hAnsi="Tahoma" w:cs="Tahoma"/>
          <w:sz w:val="24"/>
          <w:szCs w:val="24"/>
        </w:rPr>
      </w:pPr>
      <w:r w:rsidRPr="00BD5648">
        <w:rPr>
          <w:rFonts w:ascii="Tahoma" w:hAnsi="Tahoma" w:cs="Tahoma"/>
          <w:sz w:val="24"/>
          <w:szCs w:val="24"/>
        </w:rPr>
        <w:t>Government of Lesotho. (2019a) Multi-Stakeholder National Dialogue, Plenary II Report, Manthabiseng Convention Centre, Maseru, Lesotho, 25-27 November.</w:t>
      </w:r>
    </w:p>
    <w:p w14:paraId="0D96A1AF" w14:textId="77777777" w:rsidR="00040536" w:rsidRPr="00BD5648" w:rsidRDefault="00040536" w:rsidP="00475B12">
      <w:pPr>
        <w:spacing w:line="360" w:lineRule="auto"/>
        <w:ind w:left="720" w:hanging="720"/>
        <w:jc w:val="both"/>
        <w:rPr>
          <w:rFonts w:ascii="Tahoma" w:hAnsi="Tahoma" w:cs="Tahoma"/>
          <w:sz w:val="24"/>
          <w:szCs w:val="24"/>
        </w:rPr>
      </w:pPr>
      <w:r w:rsidRPr="00BD5648">
        <w:rPr>
          <w:rFonts w:ascii="Tahoma" w:hAnsi="Tahoma" w:cs="Tahoma"/>
          <w:sz w:val="24"/>
          <w:szCs w:val="24"/>
          <w:lang w:val="en-GB"/>
        </w:rPr>
        <w:t>Government of Lesotho. (2019b) National Reforms Authority Act, Vol. 64, No. 62, 8 November.</w:t>
      </w:r>
    </w:p>
    <w:p w14:paraId="66C57BBB" w14:textId="77777777" w:rsidR="00040536" w:rsidRPr="009340AC" w:rsidRDefault="00040536" w:rsidP="00475B12">
      <w:pPr>
        <w:spacing w:line="360" w:lineRule="auto"/>
        <w:ind w:left="720" w:hanging="720"/>
        <w:jc w:val="both"/>
        <w:rPr>
          <w:rFonts w:ascii="Tahoma" w:hAnsi="Tahoma" w:cs="Tahoma"/>
          <w:sz w:val="24"/>
          <w:szCs w:val="24"/>
          <w:lang w:val="en-GB"/>
        </w:rPr>
      </w:pPr>
      <w:r w:rsidRPr="009340AC">
        <w:rPr>
          <w:rFonts w:ascii="Tahoma" w:hAnsi="Tahoma" w:cs="Tahoma"/>
          <w:sz w:val="24"/>
          <w:szCs w:val="24"/>
        </w:rPr>
        <w:t>Kali, M. (2022)</w:t>
      </w:r>
      <w:r>
        <w:rPr>
          <w:rFonts w:ascii="Tahoma" w:hAnsi="Tahoma" w:cs="Tahoma"/>
          <w:sz w:val="24"/>
          <w:szCs w:val="24"/>
        </w:rPr>
        <w:t>.</w:t>
      </w:r>
      <w:r w:rsidRPr="009340AC">
        <w:rPr>
          <w:rFonts w:ascii="Tahoma" w:hAnsi="Tahoma" w:cs="Tahoma"/>
          <w:sz w:val="24"/>
          <w:szCs w:val="24"/>
        </w:rPr>
        <w:t xml:space="preserve"> ‘The untold story of civil society organisations’ contribution to peacebuilding in Lesotho’, </w:t>
      </w:r>
      <w:r w:rsidRPr="009340AC">
        <w:rPr>
          <w:rFonts w:ascii="Tahoma" w:hAnsi="Tahoma" w:cs="Tahoma"/>
          <w:i/>
          <w:iCs/>
          <w:sz w:val="24"/>
          <w:szCs w:val="24"/>
        </w:rPr>
        <w:t>International Politics</w:t>
      </w:r>
      <w:r w:rsidRPr="009340AC">
        <w:rPr>
          <w:rFonts w:ascii="Tahoma" w:hAnsi="Tahoma" w:cs="Tahoma"/>
          <w:sz w:val="24"/>
          <w:szCs w:val="24"/>
        </w:rPr>
        <w:t xml:space="preserve">, 59, pp1082-1100, </w:t>
      </w:r>
      <w:hyperlink r:id="rId13" w:history="1">
        <w:r w:rsidRPr="009340AC">
          <w:rPr>
            <w:rStyle w:val="Hyperlink"/>
            <w:rFonts w:ascii="Tahoma" w:hAnsi="Tahoma" w:cs="Tahoma"/>
            <w:sz w:val="24"/>
            <w:szCs w:val="24"/>
          </w:rPr>
          <w:t>https://doi.org/10.10571s4131-021-00345-w</w:t>
        </w:r>
      </w:hyperlink>
      <w:r w:rsidRPr="009340AC">
        <w:rPr>
          <w:rStyle w:val="Hyperlink"/>
          <w:rFonts w:ascii="Tahoma" w:hAnsi="Tahoma" w:cs="Tahoma"/>
          <w:sz w:val="24"/>
          <w:szCs w:val="24"/>
        </w:rPr>
        <w:t>.</w:t>
      </w:r>
    </w:p>
    <w:p w14:paraId="4128A7E0" w14:textId="77777777" w:rsidR="00040536" w:rsidRPr="009340AC" w:rsidRDefault="00040536" w:rsidP="00475B12">
      <w:pPr>
        <w:spacing w:line="360" w:lineRule="auto"/>
        <w:ind w:left="720" w:hanging="720"/>
        <w:jc w:val="both"/>
        <w:rPr>
          <w:rFonts w:ascii="Tahoma" w:hAnsi="Tahoma" w:cs="Tahoma"/>
          <w:sz w:val="24"/>
          <w:szCs w:val="24"/>
        </w:rPr>
      </w:pPr>
      <w:r w:rsidRPr="009340AC">
        <w:rPr>
          <w:rFonts w:ascii="Tahoma" w:hAnsi="Tahoma" w:cs="Tahoma"/>
          <w:sz w:val="24"/>
          <w:szCs w:val="24"/>
        </w:rPr>
        <w:t>Kapa, M. (2017)</w:t>
      </w:r>
      <w:r>
        <w:rPr>
          <w:rFonts w:ascii="Tahoma" w:hAnsi="Tahoma" w:cs="Tahoma"/>
          <w:sz w:val="24"/>
          <w:szCs w:val="24"/>
        </w:rPr>
        <w:t>.</w:t>
      </w:r>
      <w:r w:rsidRPr="009340AC">
        <w:rPr>
          <w:rFonts w:ascii="Tahoma" w:hAnsi="Tahoma" w:cs="Tahoma"/>
          <w:sz w:val="24"/>
          <w:szCs w:val="24"/>
        </w:rPr>
        <w:t xml:space="preserve"> ‘Roles of Civil Society in Conflict Situations in Sub-Sahan Africa: The Case of Lesotho’, in Berhanu, K. and Chimanikire, D. (eds). </w:t>
      </w:r>
      <w:r w:rsidRPr="009340AC">
        <w:rPr>
          <w:rFonts w:ascii="Tahoma" w:hAnsi="Tahoma" w:cs="Tahoma"/>
          <w:i/>
          <w:iCs/>
          <w:sz w:val="24"/>
          <w:szCs w:val="24"/>
        </w:rPr>
        <w:t>The Roles of Civil Society in Conflict Management and Peace Building in Eastern and Southern Africa</w:t>
      </w:r>
      <w:r w:rsidRPr="009340AC">
        <w:rPr>
          <w:rFonts w:ascii="Tahoma" w:hAnsi="Tahoma" w:cs="Tahoma"/>
          <w:sz w:val="24"/>
          <w:szCs w:val="24"/>
        </w:rPr>
        <w:t xml:space="preserve">, Addis Ababa, Organisation for Social Research in Eastern and Southern Africa, pp259-288; </w:t>
      </w:r>
    </w:p>
    <w:p w14:paraId="4FBD0847" w14:textId="77777777" w:rsidR="00040536" w:rsidRDefault="00040536" w:rsidP="00475B12">
      <w:pPr>
        <w:spacing w:line="360" w:lineRule="auto"/>
        <w:ind w:left="720" w:hanging="720"/>
        <w:jc w:val="both"/>
        <w:rPr>
          <w:rFonts w:ascii="Tahoma" w:hAnsi="Tahoma" w:cs="Tahoma"/>
          <w:sz w:val="24"/>
          <w:szCs w:val="24"/>
        </w:rPr>
      </w:pPr>
      <w:r w:rsidRPr="009340AC">
        <w:rPr>
          <w:rFonts w:ascii="Tahoma" w:hAnsi="Tahoma" w:cs="Tahoma"/>
          <w:sz w:val="24"/>
          <w:szCs w:val="24"/>
        </w:rPr>
        <w:t>Matlosa, K. (2020)</w:t>
      </w:r>
      <w:r>
        <w:rPr>
          <w:rFonts w:ascii="Tahoma" w:hAnsi="Tahoma" w:cs="Tahoma"/>
          <w:sz w:val="24"/>
          <w:szCs w:val="24"/>
        </w:rPr>
        <w:t>.</w:t>
      </w:r>
      <w:r w:rsidRPr="009340AC">
        <w:rPr>
          <w:rFonts w:ascii="Tahoma" w:hAnsi="Tahoma" w:cs="Tahoma"/>
          <w:sz w:val="24"/>
          <w:szCs w:val="24"/>
        </w:rPr>
        <w:t xml:space="preserve"> ‘Pondering the culture of violence in Lesotho: a case for demilitarization’, </w:t>
      </w:r>
      <w:r w:rsidRPr="009340AC">
        <w:rPr>
          <w:rFonts w:ascii="Tahoma" w:hAnsi="Tahoma" w:cs="Tahoma"/>
          <w:i/>
          <w:iCs/>
          <w:sz w:val="24"/>
          <w:szCs w:val="24"/>
        </w:rPr>
        <w:t>Journal of Contemporary African Studies</w:t>
      </w:r>
      <w:r w:rsidRPr="009340AC">
        <w:rPr>
          <w:rFonts w:ascii="Tahoma" w:hAnsi="Tahoma" w:cs="Tahoma"/>
          <w:sz w:val="24"/>
          <w:szCs w:val="24"/>
        </w:rPr>
        <w:t>, 38(3), pp381-398.</w:t>
      </w:r>
    </w:p>
    <w:p w14:paraId="21F365B6" w14:textId="0DB624B9" w:rsidR="00040536" w:rsidRPr="009340AC" w:rsidRDefault="00040536" w:rsidP="00475B12">
      <w:pPr>
        <w:spacing w:line="360" w:lineRule="auto"/>
        <w:ind w:left="720" w:hanging="720"/>
        <w:jc w:val="both"/>
        <w:rPr>
          <w:rFonts w:ascii="Tahoma" w:hAnsi="Tahoma" w:cs="Tahoma"/>
          <w:sz w:val="24"/>
          <w:szCs w:val="24"/>
        </w:rPr>
      </w:pPr>
      <w:r>
        <w:rPr>
          <w:rFonts w:ascii="Tahoma" w:hAnsi="Tahoma" w:cs="Tahoma"/>
          <w:sz w:val="24"/>
          <w:szCs w:val="24"/>
        </w:rPr>
        <w:t>Matlosa, K. (202</w:t>
      </w:r>
      <w:r w:rsidR="00AA5744">
        <w:rPr>
          <w:rFonts w:ascii="Tahoma" w:hAnsi="Tahoma" w:cs="Tahoma"/>
          <w:sz w:val="24"/>
          <w:szCs w:val="24"/>
        </w:rPr>
        <w:t>4</w:t>
      </w:r>
      <w:r>
        <w:rPr>
          <w:rFonts w:ascii="Tahoma" w:hAnsi="Tahoma" w:cs="Tahoma"/>
          <w:sz w:val="24"/>
          <w:szCs w:val="24"/>
        </w:rPr>
        <w:t xml:space="preserve">). ‘African Union Transitional Justice Policy Implementation Guidance: Lesotho’, Policy Paper Centre for the Study of Violence and Reconciliation (CSVR), Johannesburg, South Africa, 24 December. </w:t>
      </w:r>
    </w:p>
    <w:p w14:paraId="1191A966" w14:textId="77777777" w:rsidR="00040536" w:rsidRDefault="00040536" w:rsidP="00475B12">
      <w:pPr>
        <w:spacing w:line="360" w:lineRule="auto"/>
        <w:ind w:left="720" w:hanging="720"/>
        <w:jc w:val="both"/>
        <w:rPr>
          <w:rFonts w:ascii="Tahoma" w:hAnsi="Tahoma" w:cs="Tahoma"/>
          <w:sz w:val="24"/>
          <w:szCs w:val="24"/>
        </w:rPr>
      </w:pPr>
      <w:r w:rsidRPr="009340AC">
        <w:rPr>
          <w:rFonts w:ascii="Tahoma" w:hAnsi="Tahoma" w:cs="Tahoma"/>
          <w:sz w:val="24"/>
          <w:szCs w:val="24"/>
        </w:rPr>
        <w:t>Pherudi, M. (2023)</w:t>
      </w:r>
      <w:r>
        <w:rPr>
          <w:rFonts w:ascii="Tahoma" w:hAnsi="Tahoma" w:cs="Tahoma"/>
          <w:sz w:val="24"/>
          <w:szCs w:val="24"/>
        </w:rPr>
        <w:t>.</w:t>
      </w:r>
      <w:r w:rsidRPr="009340AC">
        <w:rPr>
          <w:rFonts w:ascii="Tahoma" w:hAnsi="Tahoma" w:cs="Tahoma"/>
          <w:sz w:val="24"/>
          <w:szCs w:val="24"/>
        </w:rPr>
        <w:t xml:space="preserve"> </w:t>
      </w:r>
      <w:r w:rsidRPr="009340AC">
        <w:rPr>
          <w:rFonts w:ascii="Tahoma" w:hAnsi="Tahoma" w:cs="Tahoma"/>
          <w:i/>
          <w:iCs/>
          <w:sz w:val="24"/>
          <w:szCs w:val="24"/>
        </w:rPr>
        <w:t>Lesotho on SADC Agenda: Challenges of Instability and Prospects for Peace</w:t>
      </w:r>
      <w:r w:rsidRPr="009340AC">
        <w:rPr>
          <w:rFonts w:ascii="Tahoma" w:hAnsi="Tahoma" w:cs="Tahoma"/>
          <w:sz w:val="24"/>
          <w:szCs w:val="24"/>
        </w:rPr>
        <w:t>, Pretoria, UNISA Press.</w:t>
      </w:r>
    </w:p>
    <w:p w14:paraId="1C1C5CF6" w14:textId="77777777" w:rsidR="00040536" w:rsidRPr="00366A2D" w:rsidRDefault="00040536" w:rsidP="00475B12">
      <w:pPr>
        <w:spacing w:line="360" w:lineRule="auto"/>
        <w:ind w:left="720" w:hanging="720"/>
        <w:jc w:val="both"/>
        <w:rPr>
          <w:rFonts w:ascii="Tahoma" w:hAnsi="Tahoma" w:cs="Tahoma"/>
          <w:sz w:val="24"/>
          <w:szCs w:val="24"/>
        </w:rPr>
      </w:pPr>
      <w:r w:rsidRPr="00366A2D">
        <w:rPr>
          <w:rFonts w:ascii="Tahoma" w:hAnsi="Tahoma" w:cs="Tahoma"/>
          <w:sz w:val="24"/>
          <w:szCs w:val="24"/>
        </w:rPr>
        <w:lastRenderedPageBreak/>
        <w:t>National Reforms Authority. (2021) The Path Towards Sustainable Peace, National Unity and Reconciliation: The Lesotho We Want, Report of the National Stakeholder Consultative Forum held on 21-23 July 2021 at Manthabiseng Convention Centre, Maseru, Lesotho.</w:t>
      </w:r>
    </w:p>
    <w:p w14:paraId="74001896" w14:textId="77777777" w:rsidR="009530ED" w:rsidRPr="00040536" w:rsidRDefault="009530ED" w:rsidP="003337DC">
      <w:pPr>
        <w:widowControl/>
        <w:autoSpaceDE/>
        <w:autoSpaceDN/>
        <w:spacing w:before="100" w:beforeAutospacing="1" w:after="100" w:afterAutospacing="1" w:line="480" w:lineRule="auto"/>
        <w:jc w:val="right"/>
        <w:rPr>
          <w:rFonts w:ascii="Tahoma" w:hAnsi="Tahoma" w:cs="Tahoma"/>
          <w:bCs/>
          <w:lang w:eastAsia="en-GB"/>
        </w:rPr>
      </w:pPr>
    </w:p>
    <w:sectPr w:rsidR="009530ED" w:rsidRPr="00040536" w:rsidSect="00B07705">
      <w:headerReference w:type="default" r:id="rId14"/>
      <w:footerReference w:type="default" r:id="rId15"/>
      <w:type w:val="continuous"/>
      <w:pgSz w:w="11910" w:h="16840"/>
      <w:pgMar w:top="780" w:right="660" w:bottom="280" w:left="900" w:header="624"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5D058FF" w14:textId="77777777" w:rsidR="002A4D40" w:rsidRDefault="002A4D40" w:rsidP="00C466E6">
      <w:r>
        <w:separator/>
      </w:r>
    </w:p>
  </w:endnote>
  <w:endnote w:type="continuationSeparator" w:id="0">
    <w:p w14:paraId="6931B228" w14:textId="77777777" w:rsidR="002A4D40" w:rsidRDefault="002A4D40" w:rsidP="00C466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51532804"/>
      <w:docPartObj>
        <w:docPartGallery w:val="Page Numbers (Bottom of Page)"/>
        <w:docPartUnique/>
      </w:docPartObj>
    </w:sdtPr>
    <w:sdtEndPr>
      <w:rPr>
        <w:noProof/>
      </w:rPr>
    </w:sdtEndPr>
    <w:sdtContent>
      <w:p w14:paraId="26071234" w14:textId="7FD55BC5" w:rsidR="004559C5" w:rsidRDefault="004559C5">
        <w:pPr>
          <w:pStyle w:val="Footer"/>
          <w:jc w:val="center"/>
        </w:pPr>
        <w:r>
          <w:fldChar w:fldCharType="begin"/>
        </w:r>
        <w:r>
          <w:instrText xml:space="preserve"> PAGE   \* MERGEFORMAT </w:instrText>
        </w:r>
        <w:r>
          <w:fldChar w:fldCharType="separate"/>
        </w:r>
        <w:r w:rsidR="00457FDA">
          <w:rPr>
            <w:noProof/>
          </w:rPr>
          <w:t>1</w:t>
        </w:r>
        <w:r>
          <w:rPr>
            <w:noProof/>
          </w:rPr>
          <w:fldChar w:fldCharType="end"/>
        </w:r>
      </w:p>
    </w:sdtContent>
  </w:sdt>
  <w:p w14:paraId="4F45E6EB" w14:textId="42E1695B" w:rsidR="0085688C" w:rsidRDefault="00B07705">
    <w:pPr>
      <w:pStyle w:val="Footer"/>
    </w:pPr>
    <w:r>
      <w:rPr>
        <w:noProof/>
        <w:lang w:val="en-GB" w:eastAsia="en-GB"/>
      </w:rPr>
      <w:drawing>
        <wp:inline distT="0" distB="0" distL="0" distR="0" wp14:anchorId="3B366D70" wp14:editId="7BBAC3AB">
          <wp:extent cx="1926590" cy="494030"/>
          <wp:effectExtent l="0" t="0" r="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26590" cy="494030"/>
                  </a:xfrm>
                  <a:prstGeom prst="rect">
                    <a:avLst/>
                  </a:prstGeom>
                  <a:noFill/>
                </pic:spPr>
              </pic:pic>
            </a:graphicData>
          </a:graphic>
        </wp:inline>
      </w:drawing>
    </w:r>
    <w:r>
      <w:t xml:space="preserve">                                                                                               </w:t>
    </w:r>
    <w:r>
      <w:rPr>
        <w:noProof/>
        <w:lang w:val="en-GB" w:eastAsia="en-GB"/>
      </w:rPr>
      <w:drawing>
        <wp:inline distT="0" distB="0" distL="0" distR="0" wp14:anchorId="1F322202" wp14:editId="346286FD">
          <wp:extent cx="1134110" cy="494030"/>
          <wp:effectExtent l="0" t="0" r="889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34110" cy="494030"/>
                  </a:xfrm>
                  <a:prstGeom prst="rect">
                    <a:avLst/>
                  </a:prstGeom>
                  <a:noFill/>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502680F" w14:textId="77777777" w:rsidR="002A4D40" w:rsidRDefault="002A4D40" w:rsidP="00C466E6">
      <w:r>
        <w:separator/>
      </w:r>
    </w:p>
  </w:footnote>
  <w:footnote w:type="continuationSeparator" w:id="0">
    <w:p w14:paraId="4E00A282" w14:textId="77777777" w:rsidR="002A4D40" w:rsidRDefault="002A4D40" w:rsidP="00C466E6">
      <w:r>
        <w:continuationSeparator/>
      </w:r>
    </w:p>
  </w:footnote>
  <w:footnote w:id="1">
    <w:p w14:paraId="072717F9" w14:textId="3C024606" w:rsidR="00040536" w:rsidRPr="00391558" w:rsidRDefault="00040536" w:rsidP="00040536">
      <w:pPr>
        <w:pStyle w:val="FootnoteText"/>
        <w:jc w:val="both"/>
        <w:rPr>
          <w:rFonts w:ascii="Tahoma" w:hAnsi="Tahoma" w:cs="Tahoma"/>
        </w:rPr>
      </w:pPr>
      <w:r w:rsidRPr="00391558">
        <w:rPr>
          <w:rStyle w:val="FootnoteReference"/>
          <w:rFonts w:ascii="Tahoma" w:hAnsi="Tahoma" w:cs="Tahoma"/>
        </w:rPr>
        <w:footnoteRef/>
      </w:r>
      <w:r w:rsidR="005E1D17">
        <w:rPr>
          <w:rFonts w:ascii="Tahoma" w:hAnsi="Tahoma" w:cs="Tahoma"/>
        </w:rPr>
        <w:t>Khabele Matlosa is the Executive Director at SIRD, Re</w:t>
      </w:r>
      <w:r w:rsidR="005E1D17" w:rsidRPr="00391558">
        <w:rPr>
          <w:rFonts w:ascii="Tahoma" w:hAnsi="Tahoma" w:cs="Tahoma"/>
        </w:rPr>
        <w:t xml:space="preserve">search Fellow, Africa Institute of South Africa at the Human Sciences Research Council, Pretoria South Africa and the Visiting Professor at the Centre for African Diplomacy and Leadership, University of Johannesburg, South Africa. His contact details are as follows: Tel/WhatsApp: +26657984471 and email: </w:t>
      </w:r>
      <w:hyperlink r:id="rId1" w:history="1">
        <w:r w:rsidR="005E1D17" w:rsidRPr="00391558">
          <w:rPr>
            <w:rStyle w:val="Hyperlink"/>
            <w:rFonts w:ascii="Tahoma" w:hAnsi="Tahoma" w:cs="Tahoma"/>
          </w:rPr>
          <w:t>matlosak@gmail.com</w:t>
        </w:r>
      </w:hyperlink>
      <w:r w:rsidR="005E1D17" w:rsidRPr="00391558">
        <w:rPr>
          <w:rFonts w:ascii="Tahoma" w:hAnsi="Tahoma" w:cs="Tahoma"/>
        </w:rPr>
        <w:t xml:space="preserve"> and </w:t>
      </w:r>
      <w:hyperlink r:id="rId2" w:history="1">
        <w:r w:rsidR="005E1D17" w:rsidRPr="00391558">
          <w:rPr>
            <w:rStyle w:val="Hyperlink"/>
            <w:rFonts w:ascii="Tahoma" w:hAnsi="Tahoma" w:cs="Tahoma"/>
          </w:rPr>
          <w:t>khabelematlosa@rocketmail.com</w:t>
        </w:r>
      </w:hyperlink>
      <w:r w:rsidR="005E1D17" w:rsidRPr="00391558">
        <w:rPr>
          <w:rFonts w:ascii="Tahoma" w:hAnsi="Tahoma" w:cs="Tahoma"/>
        </w:rPr>
        <w:t>.</w:t>
      </w:r>
    </w:p>
  </w:footnote>
  <w:footnote w:id="2">
    <w:p w14:paraId="01CF4D54" w14:textId="2F846F58" w:rsidR="00040536" w:rsidRPr="00391558" w:rsidRDefault="00040536" w:rsidP="00040536">
      <w:pPr>
        <w:pStyle w:val="FootnoteText"/>
        <w:jc w:val="both"/>
        <w:rPr>
          <w:rFonts w:ascii="Tahoma" w:hAnsi="Tahoma" w:cs="Tahoma"/>
        </w:rPr>
      </w:pPr>
      <w:r w:rsidRPr="00391558">
        <w:rPr>
          <w:rStyle w:val="FootnoteReference"/>
          <w:rFonts w:ascii="Tahoma" w:hAnsi="Tahoma" w:cs="Tahoma"/>
        </w:rPr>
        <w:footnoteRef/>
      </w:r>
      <w:r w:rsidRPr="00391558">
        <w:rPr>
          <w:rFonts w:ascii="Tahoma" w:hAnsi="Tahoma" w:cs="Tahoma"/>
        </w:rPr>
        <w:t xml:space="preserve"> </w:t>
      </w:r>
      <w:r w:rsidR="005E1D17" w:rsidRPr="00391558">
        <w:rPr>
          <w:rFonts w:ascii="Tahoma" w:hAnsi="Tahoma" w:cs="Tahoma"/>
        </w:rPr>
        <w:t xml:space="preserve">Moeketsi Kali (PhD) is the Program Manager, Strategic Institute for Research and Dialogue (SIRD) and a Political Science Lecturer at the National University of Lesotho (NUL). His email is: </w:t>
      </w:r>
      <w:hyperlink r:id="rId3" w:history="1">
        <w:r w:rsidR="005E1D17" w:rsidRPr="00391558">
          <w:rPr>
            <w:rStyle w:val="Hyperlink"/>
            <w:rFonts w:ascii="Tahoma" w:hAnsi="Tahoma" w:cs="Tahoma"/>
          </w:rPr>
          <w:t>kalimoeketsi2@gmail.com</w:t>
        </w:r>
      </w:hyperlink>
    </w:p>
  </w:footnote>
  <w:footnote w:id="3">
    <w:p w14:paraId="1CB96E56" w14:textId="1B5C121E" w:rsidR="003B30E6" w:rsidRPr="003B30E6" w:rsidRDefault="00040536" w:rsidP="003B30E6">
      <w:pPr>
        <w:pStyle w:val="FootnoteText"/>
        <w:jc w:val="both"/>
        <w:rPr>
          <w:rFonts w:ascii="Tahoma" w:hAnsi="Tahoma" w:cs="Tahoma"/>
          <w:iCs/>
        </w:rPr>
      </w:pPr>
      <w:r w:rsidRPr="003B30E6">
        <w:rPr>
          <w:rStyle w:val="FootnoteReference"/>
          <w:rFonts w:ascii="Tahoma" w:hAnsi="Tahoma" w:cs="Tahoma"/>
        </w:rPr>
        <w:footnoteRef/>
      </w:r>
      <w:r w:rsidRPr="003B30E6">
        <w:rPr>
          <w:rFonts w:ascii="Tahoma" w:hAnsi="Tahoma" w:cs="Tahoma"/>
        </w:rPr>
        <w:t xml:space="preserve"> </w:t>
      </w:r>
      <w:r w:rsidR="003B30E6" w:rsidRPr="003B30E6">
        <w:rPr>
          <w:rFonts w:ascii="Tahoma" w:hAnsi="Tahoma" w:cs="Tahoma"/>
          <w:iCs/>
        </w:rPr>
        <w:t xml:space="preserve">The data underpinning this brief emanates from extensive consultations by Lesotho Council of NGOs (LCN) and the Strategic Institute for Research and Dialogue (SIRD) held across all ten districts of Lesotho between 16 January to 6 February 2025 with 873 participants. </w:t>
      </w:r>
      <w:r w:rsidR="003B30E6" w:rsidRPr="003B30E6">
        <w:rPr>
          <w:rFonts w:ascii="Tahoma" w:hAnsi="Tahoma" w:cs="Tahoma"/>
        </w:rPr>
        <w:t>A total of 873 participants were engaged across Lesotho, with the highest numbers in Mohale’s Hoek (163), Quthing (143), and Qacha’s Nek (113), and lower turnouts in districts like Mokhotlong (38) and Mafeteng (43).</w:t>
      </w:r>
    </w:p>
    <w:p w14:paraId="08D646E4" w14:textId="10CA9AF5" w:rsidR="00040536" w:rsidRPr="00391558" w:rsidRDefault="00040536" w:rsidP="00040536">
      <w:pPr>
        <w:pStyle w:val="FootnoteText"/>
        <w:jc w:val="both"/>
        <w:rPr>
          <w:rFonts w:ascii="Tahoma" w:hAnsi="Tahoma" w:cs="Tahoma"/>
        </w:rPr>
      </w:pPr>
    </w:p>
  </w:footnote>
  <w:footnote w:id="4">
    <w:p w14:paraId="1F6A553A" w14:textId="1E6B745F" w:rsidR="00040536" w:rsidRDefault="00040536" w:rsidP="00040536">
      <w:pPr>
        <w:pStyle w:val="FootnoteText"/>
        <w:jc w:val="both"/>
      </w:pPr>
      <w:r w:rsidRPr="00391558">
        <w:rPr>
          <w:rStyle w:val="FootnoteReference"/>
          <w:rFonts w:ascii="Tahoma" w:hAnsi="Tahoma" w:cs="Tahoma"/>
        </w:rPr>
        <w:footnoteRef/>
      </w:r>
      <w:r w:rsidRPr="00391558">
        <w:rPr>
          <w:rFonts w:ascii="Tahoma" w:hAnsi="Tahoma" w:cs="Tahoma"/>
        </w:rPr>
        <w:t xml:space="preserve"> The 43 </w:t>
      </w:r>
      <w:r w:rsidR="003B30E6">
        <w:rPr>
          <w:rFonts w:ascii="Tahoma" w:hAnsi="Tahoma" w:cs="Tahoma"/>
        </w:rPr>
        <w:t>key informnts</w:t>
      </w:r>
      <w:r w:rsidRPr="00391558">
        <w:rPr>
          <w:rFonts w:ascii="Tahoma" w:hAnsi="Tahoma" w:cs="Tahoma"/>
        </w:rPr>
        <w:t xml:space="preserve"> were drawn from various sectors including government, civil society, faith-based organisations, traditional/local authorities, academia, diaspora, women, </w:t>
      </w:r>
      <w:r>
        <w:rPr>
          <w:rFonts w:ascii="Tahoma" w:hAnsi="Tahoma" w:cs="Tahoma"/>
        </w:rPr>
        <w:t xml:space="preserve">media, </w:t>
      </w:r>
      <w:r w:rsidRPr="00391558">
        <w:rPr>
          <w:rFonts w:ascii="Tahoma" w:hAnsi="Tahoma" w:cs="Tahoma"/>
        </w:rPr>
        <w:t>youth, persons with disability, multilateral intergovernmental organisations, and international non-governmental organisations.</w:t>
      </w:r>
      <w:r>
        <w:t xml:space="preserve"> </w:t>
      </w:r>
    </w:p>
  </w:footnote>
  <w:footnote w:id="5">
    <w:p w14:paraId="44497C65" w14:textId="77777777" w:rsidR="00040536" w:rsidRPr="000C12C1" w:rsidRDefault="00040536" w:rsidP="00040536">
      <w:pPr>
        <w:pStyle w:val="FootnoteText"/>
        <w:jc w:val="both"/>
        <w:rPr>
          <w:rFonts w:ascii="Tahoma" w:hAnsi="Tahoma" w:cs="Tahoma"/>
        </w:rPr>
      </w:pPr>
      <w:r w:rsidRPr="000C12C1">
        <w:rPr>
          <w:rStyle w:val="FootnoteReference"/>
          <w:rFonts w:ascii="Tahoma" w:hAnsi="Tahoma" w:cs="Tahoma"/>
        </w:rPr>
        <w:footnoteRef/>
      </w:r>
      <w:r w:rsidRPr="000C12C1">
        <w:rPr>
          <w:rFonts w:ascii="Tahoma" w:hAnsi="Tahoma" w:cs="Tahoma"/>
        </w:rPr>
        <w:t xml:space="preserve"> It was during this period that Lesotho experienced a multiplicity of overt violent conflicts including an abortive military coup, armed conflicts between the military and the police, the bombing of residences of the police commissioner</w:t>
      </w:r>
      <w:r>
        <w:rPr>
          <w:rFonts w:ascii="Tahoma" w:hAnsi="Tahoma" w:cs="Tahoma"/>
        </w:rPr>
        <w:t>,</w:t>
      </w:r>
      <w:r w:rsidRPr="000C12C1">
        <w:rPr>
          <w:rFonts w:ascii="Tahoma" w:hAnsi="Tahoma" w:cs="Tahoma"/>
        </w:rPr>
        <w:t xml:space="preserve"> </w:t>
      </w:r>
      <w:r>
        <w:rPr>
          <w:rFonts w:ascii="Tahoma" w:hAnsi="Tahoma" w:cs="Tahoma"/>
        </w:rPr>
        <w:t xml:space="preserve">torture of some soldiers and fleeing of others into exile in South Africa, </w:t>
      </w:r>
      <w:r w:rsidRPr="000C12C1">
        <w:rPr>
          <w:rFonts w:ascii="Tahoma" w:hAnsi="Tahoma" w:cs="Tahoma"/>
        </w:rPr>
        <w:t xml:space="preserve">the assassination of the army commander, Lt-Gen. Maaparankoe Mahao prompting SADC to institute a Commission of Inquiry-the Phumaphi Commission. </w:t>
      </w:r>
      <w:r>
        <w:rPr>
          <w:rFonts w:ascii="Tahoma" w:hAnsi="Tahoma" w:cs="Tahoma"/>
        </w:rPr>
        <w:t>Two years later, the instability within the Lesotho Defence Force led to the assassination of another commander, Lt-Gen. Khoantle Motsomotso.</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D02C95" w14:textId="2A344F9E" w:rsidR="0085688C" w:rsidRDefault="0085688C">
    <w:pPr>
      <w:pStyle w:val="Header"/>
    </w:pPr>
    <w:r>
      <w:rPr>
        <w:noProof/>
        <w:position w:val="45"/>
        <w:lang w:val="en-GB" w:eastAsia="en-GB"/>
      </w:rPr>
      <w:drawing>
        <wp:inline distT="0" distB="0" distL="0" distR="0" wp14:anchorId="373C2C50" wp14:editId="33DF184C">
          <wp:extent cx="1922145" cy="698586"/>
          <wp:effectExtent l="0" t="0" r="1905" b="6350"/>
          <wp:docPr id="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 cstate="print"/>
                  <a:stretch>
                    <a:fillRect/>
                  </a:stretch>
                </pic:blipFill>
                <pic:spPr>
                  <a:xfrm>
                    <a:off x="0" y="0"/>
                    <a:ext cx="1939715" cy="704972"/>
                  </a:xfrm>
                  <a:prstGeom prst="rect">
                    <a:avLst/>
                  </a:prstGeom>
                </pic:spPr>
              </pic:pic>
            </a:graphicData>
          </a:graphic>
        </wp:inline>
      </w:drawing>
    </w:r>
    <w:r>
      <w:ptab w:relativeTo="margin" w:alignment="center" w:leader="none"/>
    </w:r>
    <w:r w:rsidR="00BD796D" w:rsidRPr="00BD796D">
      <w:rPr>
        <w:rFonts w:ascii="Tahoma" w:hAnsi="Tahoma" w:cs="Tahoma"/>
        <w:b/>
        <w:bCs/>
        <w:noProof/>
        <w:sz w:val="24"/>
        <w:szCs w:val="24"/>
        <w:lang w:val="en-GB" w:eastAsia="en-GB"/>
      </w:rPr>
      <w:t xml:space="preserve"> </w:t>
    </w:r>
    <w:r>
      <w:ptab w:relativeTo="margin" w:alignment="right" w:leader="none"/>
    </w:r>
    <w:r>
      <w:rPr>
        <w:noProof/>
        <w:lang w:val="en-GB" w:eastAsia="en-GB"/>
      </w:rPr>
      <w:drawing>
        <wp:inline distT="0" distB="0" distL="0" distR="0" wp14:anchorId="423233E6" wp14:editId="6C6F01CE">
          <wp:extent cx="2211205" cy="902367"/>
          <wp:effectExtent l="0" t="0" r="0" b="0"/>
          <wp:docPr id="4"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 cstate="print"/>
                  <a:stretch>
                    <a:fillRect/>
                  </a:stretch>
                </pic:blipFill>
                <pic:spPr>
                  <a:xfrm>
                    <a:off x="0" y="0"/>
                    <a:ext cx="2228170" cy="909290"/>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350249"/>
    <w:multiLevelType w:val="multilevel"/>
    <w:tmpl w:val="A35EEBD2"/>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1">
    <w:nsid w:val="0B660AF0"/>
    <w:multiLevelType w:val="multilevel"/>
    <w:tmpl w:val="76981A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DD00D95"/>
    <w:multiLevelType w:val="multilevel"/>
    <w:tmpl w:val="80A22C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5CE3E05"/>
    <w:multiLevelType w:val="multilevel"/>
    <w:tmpl w:val="26F85C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1BF95A4E"/>
    <w:multiLevelType w:val="multilevel"/>
    <w:tmpl w:val="80A22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D881D49"/>
    <w:multiLevelType w:val="multilevel"/>
    <w:tmpl w:val="433E0DA6"/>
    <w:lvl w:ilvl="0">
      <w:start w:val="1"/>
      <w:numFmt w:val="decimal"/>
      <w:lvlText w:val="%1.0."/>
      <w:lvlJc w:val="left"/>
      <w:pPr>
        <w:ind w:left="720" w:hanging="720"/>
      </w:pPr>
      <w:rPr>
        <w:rFonts w:hint="default"/>
        <w:b/>
      </w:rPr>
    </w:lvl>
    <w:lvl w:ilvl="1">
      <w:start w:val="1"/>
      <w:numFmt w:val="decimal"/>
      <w:lvlText w:val="%1.%2."/>
      <w:lvlJc w:val="left"/>
      <w:pPr>
        <w:ind w:left="1440" w:hanging="720"/>
      </w:pPr>
      <w:rPr>
        <w:rFonts w:hint="default"/>
        <w:b/>
      </w:rPr>
    </w:lvl>
    <w:lvl w:ilvl="2">
      <w:start w:val="1"/>
      <w:numFmt w:val="decimal"/>
      <w:lvlText w:val="%1.%2.%3."/>
      <w:lvlJc w:val="left"/>
      <w:pPr>
        <w:ind w:left="2520" w:hanging="1080"/>
      </w:pPr>
      <w:rPr>
        <w:rFonts w:hint="default"/>
        <w:b/>
      </w:rPr>
    </w:lvl>
    <w:lvl w:ilvl="3">
      <w:start w:val="1"/>
      <w:numFmt w:val="decimal"/>
      <w:lvlText w:val="%1.%2.%3.%4."/>
      <w:lvlJc w:val="left"/>
      <w:pPr>
        <w:ind w:left="3240" w:hanging="1080"/>
      </w:pPr>
      <w:rPr>
        <w:rFonts w:hint="default"/>
        <w:b/>
      </w:rPr>
    </w:lvl>
    <w:lvl w:ilvl="4">
      <w:start w:val="1"/>
      <w:numFmt w:val="decimal"/>
      <w:lvlText w:val="%1.%2.%3.%4.%5."/>
      <w:lvlJc w:val="left"/>
      <w:pPr>
        <w:ind w:left="4320" w:hanging="1440"/>
      </w:pPr>
      <w:rPr>
        <w:rFonts w:hint="default"/>
        <w:b/>
      </w:rPr>
    </w:lvl>
    <w:lvl w:ilvl="5">
      <w:start w:val="1"/>
      <w:numFmt w:val="decimal"/>
      <w:lvlText w:val="%1.%2.%3.%4.%5.%6."/>
      <w:lvlJc w:val="left"/>
      <w:pPr>
        <w:ind w:left="5400" w:hanging="1800"/>
      </w:pPr>
      <w:rPr>
        <w:rFonts w:hint="default"/>
        <w:b/>
      </w:rPr>
    </w:lvl>
    <w:lvl w:ilvl="6">
      <w:start w:val="1"/>
      <w:numFmt w:val="decimal"/>
      <w:lvlText w:val="%1.%2.%3.%4.%5.%6.%7."/>
      <w:lvlJc w:val="left"/>
      <w:pPr>
        <w:ind w:left="6120" w:hanging="1800"/>
      </w:pPr>
      <w:rPr>
        <w:rFonts w:hint="default"/>
        <w:b/>
      </w:rPr>
    </w:lvl>
    <w:lvl w:ilvl="7">
      <w:start w:val="1"/>
      <w:numFmt w:val="decimal"/>
      <w:lvlText w:val="%1.%2.%3.%4.%5.%6.%7.%8."/>
      <w:lvlJc w:val="left"/>
      <w:pPr>
        <w:ind w:left="7200" w:hanging="2160"/>
      </w:pPr>
      <w:rPr>
        <w:rFonts w:hint="default"/>
        <w:b/>
      </w:rPr>
    </w:lvl>
    <w:lvl w:ilvl="8">
      <w:start w:val="1"/>
      <w:numFmt w:val="decimal"/>
      <w:lvlText w:val="%1.%2.%3.%4.%5.%6.%7.%8.%9."/>
      <w:lvlJc w:val="left"/>
      <w:pPr>
        <w:ind w:left="8280" w:hanging="2520"/>
      </w:pPr>
      <w:rPr>
        <w:rFonts w:hint="default"/>
        <w:b/>
      </w:rPr>
    </w:lvl>
  </w:abstractNum>
  <w:abstractNum w:abstractNumId="6">
    <w:nsid w:val="1DBB40C2"/>
    <w:multiLevelType w:val="multilevel"/>
    <w:tmpl w:val="2E109A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4C01FA1"/>
    <w:multiLevelType w:val="hybridMultilevel"/>
    <w:tmpl w:val="F00EE260"/>
    <w:lvl w:ilvl="0" w:tplc="3DD6B436">
      <w:start w:val="1"/>
      <w:numFmt w:val="decimal"/>
      <w:lvlText w:val="%1."/>
      <w:lvlJc w:val="left"/>
      <w:pPr>
        <w:ind w:left="720" w:hanging="360"/>
      </w:pPr>
      <w:rPr>
        <w:rFonts w:ascii="Times New Roman" w:eastAsia="Times New Roman" w:hAnsi="Times New Roman" w:cs="Times New Roman"/>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24D77262"/>
    <w:multiLevelType w:val="hybridMultilevel"/>
    <w:tmpl w:val="C77435C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25C77C32"/>
    <w:multiLevelType w:val="hybridMultilevel"/>
    <w:tmpl w:val="A434C7C8"/>
    <w:lvl w:ilvl="0" w:tplc="04090001">
      <w:start w:val="1"/>
      <w:numFmt w:val="bullet"/>
      <w:lvlText w:val=""/>
      <w:lvlJc w:val="left"/>
      <w:pPr>
        <w:ind w:left="801" w:hanging="360"/>
      </w:pPr>
      <w:rPr>
        <w:rFonts w:ascii="Symbol" w:hAnsi="Symbol" w:hint="default"/>
      </w:rPr>
    </w:lvl>
    <w:lvl w:ilvl="1" w:tplc="04090003" w:tentative="1">
      <w:start w:val="1"/>
      <w:numFmt w:val="bullet"/>
      <w:lvlText w:val="o"/>
      <w:lvlJc w:val="left"/>
      <w:pPr>
        <w:ind w:left="1521" w:hanging="360"/>
      </w:pPr>
      <w:rPr>
        <w:rFonts w:ascii="Courier New" w:hAnsi="Courier New" w:cs="Courier New" w:hint="default"/>
      </w:rPr>
    </w:lvl>
    <w:lvl w:ilvl="2" w:tplc="04090005" w:tentative="1">
      <w:start w:val="1"/>
      <w:numFmt w:val="bullet"/>
      <w:lvlText w:val=""/>
      <w:lvlJc w:val="left"/>
      <w:pPr>
        <w:ind w:left="2241" w:hanging="360"/>
      </w:pPr>
      <w:rPr>
        <w:rFonts w:ascii="Wingdings" w:hAnsi="Wingdings" w:hint="default"/>
      </w:rPr>
    </w:lvl>
    <w:lvl w:ilvl="3" w:tplc="04090001" w:tentative="1">
      <w:start w:val="1"/>
      <w:numFmt w:val="bullet"/>
      <w:lvlText w:val=""/>
      <w:lvlJc w:val="left"/>
      <w:pPr>
        <w:ind w:left="2961" w:hanging="360"/>
      </w:pPr>
      <w:rPr>
        <w:rFonts w:ascii="Symbol" w:hAnsi="Symbol" w:hint="default"/>
      </w:rPr>
    </w:lvl>
    <w:lvl w:ilvl="4" w:tplc="04090003" w:tentative="1">
      <w:start w:val="1"/>
      <w:numFmt w:val="bullet"/>
      <w:lvlText w:val="o"/>
      <w:lvlJc w:val="left"/>
      <w:pPr>
        <w:ind w:left="3681" w:hanging="360"/>
      </w:pPr>
      <w:rPr>
        <w:rFonts w:ascii="Courier New" w:hAnsi="Courier New" w:cs="Courier New" w:hint="default"/>
      </w:rPr>
    </w:lvl>
    <w:lvl w:ilvl="5" w:tplc="04090005" w:tentative="1">
      <w:start w:val="1"/>
      <w:numFmt w:val="bullet"/>
      <w:lvlText w:val=""/>
      <w:lvlJc w:val="left"/>
      <w:pPr>
        <w:ind w:left="4401" w:hanging="360"/>
      </w:pPr>
      <w:rPr>
        <w:rFonts w:ascii="Wingdings" w:hAnsi="Wingdings" w:hint="default"/>
      </w:rPr>
    </w:lvl>
    <w:lvl w:ilvl="6" w:tplc="04090001" w:tentative="1">
      <w:start w:val="1"/>
      <w:numFmt w:val="bullet"/>
      <w:lvlText w:val=""/>
      <w:lvlJc w:val="left"/>
      <w:pPr>
        <w:ind w:left="5121" w:hanging="360"/>
      </w:pPr>
      <w:rPr>
        <w:rFonts w:ascii="Symbol" w:hAnsi="Symbol" w:hint="default"/>
      </w:rPr>
    </w:lvl>
    <w:lvl w:ilvl="7" w:tplc="04090003" w:tentative="1">
      <w:start w:val="1"/>
      <w:numFmt w:val="bullet"/>
      <w:lvlText w:val="o"/>
      <w:lvlJc w:val="left"/>
      <w:pPr>
        <w:ind w:left="5841" w:hanging="360"/>
      </w:pPr>
      <w:rPr>
        <w:rFonts w:ascii="Courier New" w:hAnsi="Courier New" w:cs="Courier New" w:hint="default"/>
      </w:rPr>
    </w:lvl>
    <w:lvl w:ilvl="8" w:tplc="04090005" w:tentative="1">
      <w:start w:val="1"/>
      <w:numFmt w:val="bullet"/>
      <w:lvlText w:val=""/>
      <w:lvlJc w:val="left"/>
      <w:pPr>
        <w:ind w:left="6561" w:hanging="360"/>
      </w:pPr>
      <w:rPr>
        <w:rFonts w:ascii="Wingdings" w:hAnsi="Wingdings" w:hint="default"/>
      </w:rPr>
    </w:lvl>
  </w:abstractNum>
  <w:abstractNum w:abstractNumId="10">
    <w:nsid w:val="26AF48A5"/>
    <w:multiLevelType w:val="hybridMultilevel"/>
    <w:tmpl w:val="A4607646"/>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1">
    <w:nsid w:val="27AA547F"/>
    <w:multiLevelType w:val="multilevel"/>
    <w:tmpl w:val="80A22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DB539E6"/>
    <w:multiLevelType w:val="multilevel"/>
    <w:tmpl w:val="80A22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131505A"/>
    <w:multiLevelType w:val="multilevel"/>
    <w:tmpl w:val="80A22C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33114BA"/>
    <w:multiLevelType w:val="multilevel"/>
    <w:tmpl w:val="D1C4EA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CD73A52"/>
    <w:multiLevelType w:val="multilevel"/>
    <w:tmpl w:val="49D6F5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3D61781D"/>
    <w:multiLevelType w:val="multilevel"/>
    <w:tmpl w:val="781C67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DB102EC"/>
    <w:multiLevelType w:val="multilevel"/>
    <w:tmpl w:val="2B862F74"/>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b w:val="0"/>
        <w:bCs w:val="0"/>
        <w:lang w:val="en-GB"/>
      </w:rPr>
    </w:lvl>
    <w:lvl w:ilvl="2">
      <w:start w:val="1"/>
      <w:numFmt w:val="decimal"/>
      <w:lvlText w:val="%1.%2.%3."/>
      <w:lvlJc w:val="left"/>
      <w:pPr>
        <w:ind w:left="2520" w:hanging="1080"/>
      </w:pPr>
      <w:rPr>
        <w:rFonts w:hint="default"/>
      </w:rPr>
    </w:lvl>
    <w:lvl w:ilvl="3">
      <w:start w:val="1"/>
      <w:numFmt w:val="decimal"/>
      <w:lvlText w:val="%1.%2.%3.%4."/>
      <w:lvlJc w:val="left"/>
      <w:pPr>
        <w:ind w:left="3600" w:hanging="144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280" w:hanging="2520"/>
      </w:pPr>
      <w:rPr>
        <w:rFonts w:hint="default"/>
      </w:rPr>
    </w:lvl>
  </w:abstractNum>
  <w:abstractNum w:abstractNumId="18">
    <w:nsid w:val="413B4065"/>
    <w:multiLevelType w:val="multilevel"/>
    <w:tmpl w:val="80A22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1772858"/>
    <w:multiLevelType w:val="multilevel"/>
    <w:tmpl w:val="80A22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2517054"/>
    <w:multiLevelType w:val="multilevel"/>
    <w:tmpl w:val="80A22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3FA1CDA"/>
    <w:multiLevelType w:val="multilevel"/>
    <w:tmpl w:val="80A22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4AAE3295"/>
    <w:multiLevelType w:val="multilevel"/>
    <w:tmpl w:val="80A22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1C42552"/>
    <w:multiLevelType w:val="multilevel"/>
    <w:tmpl w:val="80A22C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2A66085"/>
    <w:multiLevelType w:val="multilevel"/>
    <w:tmpl w:val="55EC8EF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B8A155F"/>
    <w:multiLevelType w:val="hybridMultilevel"/>
    <w:tmpl w:val="0B1454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5B965CEB"/>
    <w:multiLevelType w:val="multilevel"/>
    <w:tmpl w:val="F40CFC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ED71D35"/>
    <w:multiLevelType w:val="multilevel"/>
    <w:tmpl w:val="54BC1C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5F424384"/>
    <w:multiLevelType w:val="hybridMultilevel"/>
    <w:tmpl w:val="1BF4C3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65B63134"/>
    <w:multiLevelType w:val="multilevel"/>
    <w:tmpl w:val="80A22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67962F03"/>
    <w:multiLevelType w:val="multilevel"/>
    <w:tmpl w:val="80A22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8A83398"/>
    <w:multiLevelType w:val="multilevel"/>
    <w:tmpl w:val="18BC3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AE07223"/>
    <w:multiLevelType w:val="multilevel"/>
    <w:tmpl w:val="0778F2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B2404D3"/>
    <w:multiLevelType w:val="multilevel"/>
    <w:tmpl w:val="80A22C5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764D498C"/>
    <w:multiLevelType w:val="hybridMultilevel"/>
    <w:tmpl w:val="A470CC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nsid w:val="7A804E6C"/>
    <w:multiLevelType w:val="hybridMultilevel"/>
    <w:tmpl w:val="EA06A5F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1"/>
  </w:num>
  <w:num w:numId="2">
    <w:abstractNumId w:val="3"/>
  </w:num>
  <w:num w:numId="3">
    <w:abstractNumId w:val="32"/>
  </w:num>
  <w:num w:numId="4">
    <w:abstractNumId w:val="1"/>
  </w:num>
  <w:num w:numId="5">
    <w:abstractNumId w:val="16"/>
  </w:num>
  <w:num w:numId="6">
    <w:abstractNumId w:val="27"/>
  </w:num>
  <w:num w:numId="7">
    <w:abstractNumId w:val="2"/>
  </w:num>
  <w:num w:numId="8">
    <w:abstractNumId w:val="6"/>
  </w:num>
  <w:num w:numId="9">
    <w:abstractNumId w:val="24"/>
  </w:num>
  <w:num w:numId="10">
    <w:abstractNumId w:val="26"/>
  </w:num>
  <w:num w:numId="11">
    <w:abstractNumId w:val="14"/>
  </w:num>
  <w:num w:numId="12">
    <w:abstractNumId w:val="34"/>
  </w:num>
  <w:num w:numId="13">
    <w:abstractNumId w:val="28"/>
  </w:num>
  <w:num w:numId="14">
    <w:abstractNumId w:val="35"/>
  </w:num>
  <w:num w:numId="15">
    <w:abstractNumId w:val="12"/>
  </w:num>
  <w:num w:numId="16">
    <w:abstractNumId w:val="33"/>
  </w:num>
  <w:num w:numId="17">
    <w:abstractNumId w:val="33"/>
    <w:lvlOverride w:ilvl="0">
      <w:lvl w:ilvl="0">
        <w:numFmt w:val="decimal"/>
        <w:lvlText w:val=""/>
        <w:lvlJc w:val="left"/>
      </w:lvl>
    </w:lvlOverride>
    <w:lvlOverride w:ilvl="1">
      <w:lvl w:ilvl="1">
        <w:numFmt w:val="bullet"/>
        <w:lvlText w:val="o"/>
        <w:lvlJc w:val="left"/>
        <w:pPr>
          <w:tabs>
            <w:tab w:val="num" w:pos="1440"/>
          </w:tabs>
          <w:ind w:left="1440" w:hanging="360"/>
        </w:pPr>
        <w:rPr>
          <w:rFonts w:ascii="Courier New" w:hAnsi="Courier New" w:hint="default"/>
          <w:sz w:val="20"/>
        </w:rPr>
      </w:lvl>
    </w:lvlOverride>
  </w:num>
  <w:num w:numId="18">
    <w:abstractNumId w:val="20"/>
  </w:num>
  <w:num w:numId="19">
    <w:abstractNumId w:val="4"/>
  </w:num>
  <w:num w:numId="20">
    <w:abstractNumId w:val="13"/>
  </w:num>
  <w:num w:numId="21">
    <w:abstractNumId w:val="23"/>
  </w:num>
  <w:num w:numId="22">
    <w:abstractNumId w:val="29"/>
  </w:num>
  <w:num w:numId="23">
    <w:abstractNumId w:val="30"/>
  </w:num>
  <w:num w:numId="24">
    <w:abstractNumId w:val="21"/>
  </w:num>
  <w:num w:numId="25">
    <w:abstractNumId w:val="7"/>
  </w:num>
  <w:num w:numId="26">
    <w:abstractNumId w:val="15"/>
  </w:num>
  <w:num w:numId="27">
    <w:abstractNumId w:val="18"/>
  </w:num>
  <w:num w:numId="28">
    <w:abstractNumId w:val="11"/>
  </w:num>
  <w:num w:numId="29">
    <w:abstractNumId w:val="22"/>
  </w:num>
  <w:num w:numId="30">
    <w:abstractNumId w:val="19"/>
  </w:num>
  <w:num w:numId="31">
    <w:abstractNumId w:val="5"/>
  </w:num>
  <w:num w:numId="32">
    <w:abstractNumId w:val="25"/>
  </w:num>
  <w:num w:numId="33">
    <w:abstractNumId w:val="8"/>
  </w:num>
  <w:num w:numId="34">
    <w:abstractNumId w:val="10"/>
  </w:num>
  <w:num w:numId="35">
    <w:abstractNumId w:val="0"/>
  </w:num>
  <w:num w:numId="36">
    <w:abstractNumId w:val="17"/>
  </w:num>
  <w:num w:numId="3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defaultTabStop w:val="720"/>
  <w:drawingGridHorizontalSpacing w:val="110"/>
  <w:displayHorizontalDrawingGridEvery w:val="2"/>
  <w:characterSpacingControl w:val="doNotCompress"/>
  <w:hdrShapeDefaults>
    <o:shapedefaults v:ext="edit" spidmax="2049">
      <o:colormru v:ext="edit" colors="white"/>
    </o:shapedefaults>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429E5"/>
    <w:rsid w:val="000024C4"/>
    <w:rsid w:val="000048CB"/>
    <w:rsid w:val="000058B9"/>
    <w:rsid w:val="00005F1D"/>
    <w:rsid w:val="0000646D"/>
    <w:rsid w:val="00007D14"/>
    <w:rsid w:val="000101A8"/>
    <w:rsid w:val="00015CCC"/>
    <w:rsid w:val="00031483"/>
    <w:rsid w:val="00033307"/>
    <w:rsid w:val="00034EFE"/>
    <w:rsid w:val="00040536"/>
    <w:rsid w:val="000474C6"/>
    <w:rsid w:val="00050518"/>
    <w:rsid w:val="00052609"/>
    <w:rsid w:val="00052663"/>
    <w:rsid w:val="0005309A"/>
    <w:rsid w:val="00057B6D"/>
    <w:rsid w:val="00057E0C"/>
    <w:rsid w:val="00065EE3"/>
    <w:rsid w:val="00077E97"/>
    <w:rsid w:val="0008242E"/>
    <w:rsid w:val="00083701"/>
    <w:rsid w:val="00086461"/>
    <w:rsid w:val="000918B4"/>
    <w:rsid w:val="0009288F"/>
    <w:rsid w:val="000940B0"/>
    <w:rsid w:val="0009572F"/>
    <w:rsid w:val="0009688B"/>
    <w:rsid w:val="000A277F"/>
    <w:rsid w:val="000A2F7C"/>
    <w:rsid w:val="000B0457"/>
    <w:rsid w:val="000B17E5"/>
    <w:rsid w:val="000B4AEA"/>
    <w:rsid w:val="000B7A7E"/>
    <w:rsid w:val="000C4E41"/>
    <w:rsid w:val="000D7BB7"/>
    <w:rsid w:val="000E77E2"/>
    <w:rsid w:val="0010296D"/>
    <w:rsid w:val="00103657"/>
    <w:rsid w:val="001065A6"/>
    <w:rsid w:val="00115E75"/>
    <w:rsid w:val="00116042"/>
    <w:rsid w:val="00121C3E"/>
    <w:rsid w:val="0012244C"/>
    <w:rsid w:val="0012704D"/>
    <w:rsid w:val="001305B9"/>
    <w:rsid w:val="00146800"/>
    <w:rsid w:val="0015426F"/>
    <w:rsid w:val="001555DE"/>
    <w:rsid w:val="00155E00"/>
    <w:rsid w:val="00172573"/>
    <w:rsid w:val="0017303D"/>
    <w:rsid w:val="00180B2E"/>
    <w:rsid w:val="00180BF7"/>
    <w:rsid w:val="0018314A"/>
    <w:rsid w:val="0019235C"/>
    <w:rsid w:val="001A1C5B"/>
    <w:rsid w:val="001A2B09"/>
    <w:rsid w:val="001A4749"/>
    <w:rsid w:val="001A6F2E"/>
    <w:rsid w:val="001B29FE"/>
    <w:rsid w:val="001B3A28"/>
    <w:rsid w:val="001B65E5"/>
    <w:rsid w:val="001C2DF3"/>
    <w:rsid w:val="001E56FD"/>
    <w:rsid w:val="001F3C28"/>
    <w:rsid w:val="001F528C"/>
    <w:rsid w:val="0020273C"/>
    <w:rsid w:val="0022094D"/>
    <w:rsid w:val="00232A6A"/>
    <w:rsid w:val="00236F5C"/>
    <w:rsid w:val="00246B6E"/>
    <w:rsid w:val="00261D57"/>
    <w:rsid w:val="00265753"/>
    <w:rsid w:val="00265C4F"/>
    <w:rsid w:val="00266852"/>
    <w:rsid w:val="002734A6"/>
    <w:rsid w:val="00277F1F"/>
    <w:rsid w:val="0028107B"/>
    <w:rsid w:val="00281EED"/>
    <w:rsid w:val="00287DDF"/>
    <w:rsid w:val="00290482"/>
    <w:rsid w:val="00290B57"/>
    <w:rsid w:val="00290CD5"/>
    <w:rsid w:val="002A1B15"/>
    <w:rsid w:val="002A1B6F"/>
    <w:rsid w:val="002A4D40"/>
    <w:rsid w:val="002A52EA"/>
    <w:rsid w:val="002B475C"/>
    <w:rsid w:val="002C0F8E"/>
    <w:rsid w:val="002C11DC"/>
    <w:rsid w:val="002C1A83"/>
    <w:rsid w:val="002C3BAC"/>
    <w:rsid w:val="002E1309"/>
    <w:rsid w:val="002E2147"/>
    <w:rsid w:val="002E3358"/>
    <w:rsid w:val="002E7567"/>
    <w:rsid w:val="002F0000"/>
    <w:rsid w:val="002F0909"/>
    <w:rsid w:val="003015D3"/>
    <w:rsid w:val="003036C6"/>
    <w:rsid w:val="00306EA7"/>
    <w:rsid w:val="00312EEF"/>
    <w:rsid w:val="003134E6"/>
    <w:rsid w:val="00321F2D"/>
    <w:rsid w:val="00324719"/>
    <w:rsid w:val="0032765F"/>
    <w:rsid w:val="00327921"/>
    <w:rsid w:val="003337DC"/>
    <w:rsid w:val="003345A6"/>
    <w:rsid w:val="00337A47"/>
    <w:rsid w:val="00350F68"/>
    <w:rsid w:val="00360003"/>
    <w:rsid w:val="00371115"/>
    <w:rsid w:val="00374F81"/>
    <w:rsid w:val="003803E3"/>
    <w:rsid w:val="0039081C"/>
    <w:rsid w:val="00392481"/>
    <w:rsid w:val="003A125A"/>
    <w:rsid w:val="003A139E"/>
    <w:rsid w:val="003A4620"/>
    <w:rsid w:val="003A5725"/>
    <w:rsid w:val="003A6A4F"/>
    <w:rsid w:val="003B2364"/>
    <w:rsid w:val="003B30E6"/>
    <w:rsid w:val="003B3A25"/>
    <w:rsid w:val="003C1091"/>
    <w:rsid w:val="003C1A67"/>
    <w:rsid w:val="003C3428"/>
    <w:rsid w:val="003C57D2"/>
    <w:rsid w:val="003D0510"/>
    <w:rsid w:val="003D3F85"/>
    <w:rsid w:val="003E0A76"/>
    <w:rsid w:val="003E216A"/>
    <w:rsid w:val="003E54DD"/>
    <w:rsid w:val="003F38F0"/>
    <w:rsid w:val="00404370"/>
    <w:rsid w:val="004104DD"/>
    <w:rsid w:val="00417EA5"/>
    <w:rsid w:val="004204D9"/>
    <w:rsid w:val="00420A6A"/>
    <w:rsid w:val="00420EA1"/>
    <w:rsid w:val="0042282C"/>
    <w:rsid w:val="004237A5"/>
    <w:rsid w:val="0042628B"/>
    <w:rsid w:val="004377C8"/>
    <w:rsid w:val="00442974"/>
    <w:rsid w:val="004559C5"/>
    <w:rsid w:val="00457AB1"/>
    <w:rsid w:val="00457FDA"/>
    <w:rsid w:val="004603C2"/>
    <w:rsid w:val="00467838"/>
    <w:rsid w:val="00475B12"/>
    <w:rsid w:val="004908C1"/>
    <w:rsid w:val="00490EE3"/>
    <w:rsid w:val="004938F1"/>
    <w:rsid w:val="00496CFA"/>
    <w:rsid w:val="004B4CA8"/>
    <w:rsid w:val="004B5AEB"/>
    <w:rsid w:val="004B6CE1"/>
    <w:rsid w:val="004C1222"/>
    <w:rsid w:val="004C4B06"/>
    <w:rsid w:val="004C54E6"/>
    <w:rsid w:val="004D5A19"/>
    <w:rsid w:val="004E1DF7"/>
    <w:rsid w:val="004E1F04"/>
    <w:rsid w:val="004E24A3"/>
    <w:rsid w:val="004F0473"/>
    <w:rsid w:val="004F086F"/>
    <w:rsid w:val="004F1D4F"/>
    <w:rsid w:val="005001CB"/>
    <w:rsid w:val="00505B8F"/>
    <w:rsid w:val="00515272"/>
    <w:rsid w:val="00520ECC"/>
    <w:rsid w:val="005225B6"/>
    <w:rsid w:val="005235C1"/>
    <w:rsid w:val="00523A91"/>
    <w:rsid w:val="00534967"/>
    <w:rsid w:val="005350F8"/>
    <w:rsid w:val="00537D9F"/>
    <w:rsid w:val="00537DA8"/>
    <w:rsid w:val="00543197"/>
    <w:rsid w:val="00547385"/>
    <w:rsid w:val="0055128F"/>
    <w:rsid w:val="0055423E"/>
    <w:rsid w:val="0055471B"/>
    <w:rsid w:val="00555B81"/>
    <w:rsid w:val="00556FC5"/>
    <w:rsid w:val="00557B3F"/>
    <w:rsid w:val="00571CEA"/>
    <w:rsid w:val="0057445B"/>
    <w:rsid w:val="00574E18"/>
    <w:rsid w:val="00580A88"/>
    <w:rsid w:val="00580F22"/>
    <w:rsid w:val="005874D4"/>
    <w:rsid w:val="00594F4D"/>
    <w:rsid w:val="0059599E"/>
    <w:rsid w:val="00595AFD"/>
    <w:rsid w:val="005A0B19"/>
    <w:rsid w:val="005B410D"/>
    <w:rsid w:val="005B67DD"/>
    <w:rsid w:val="005B752F"/>
    <w:rsid w:val="005C5526"/>
    <w:rsid w:val="005C6E5E"/>
    <w:rsid w:val="005C732D"/>
    <w:rsid w:val="005D2C95"/>
    <w:rsid w:val="005E1D17"/>
    <w:rsid w:val="005E6536"/>
    <w:rsid w:val="005E719E"/>
    <w:rsid w:val="005F2860"/>
    <w:rsid w:val="005F576C"/>
    <w:rsid w:val="0060026C"/>
    <w:rsid w:val="006059B6"/>
    <w:rsid w:val="00610C4D"/>
    <w:rsid w:val="00612254"/>
    <w:rsid w:val="00616347"/>
    <w:rsid w:val="00617889"/>
    <w:rsid w:val="00622877"/>
    <w:rsid w:val="00622AB4"/>
    <w:rsid w:val="0064044E"/>
    <w:rsid w:val="006424E3"/>
    <w:rsid w:val="00643399"/>
    <w:rsid w:val="006465FA"/>
    <w:rsid w:val="0065098D"/>
    <w:rsid w:val="006610F6"/>
    <w:rsid w:val="00671C80"/>
    <w:rsid w:val="00673888"/>
    <w:rsid w:val="006738C0"/>
    <w:rsid w:val="00674E34"/>
    <w:rsid w:val="00675EC5"/>
    <w:rsid w:val="00681430"/>
    <w:rsid w:val="00692335"/>
    <w:rsid w:val="006A0F86"/>
    <w:rsid w:val="006A49D2"/>
    <w:rsid w:val="006B5A86"/>
    <w:rsid w:val="006C1A89"/>
    <w:rsid w:val="006D285B"/>
    <w:rsid w:val="006D6E08"/>
    <w:rsid w:val="006E60FD"/>
    <w:rsid w:val="006F1B17"/>
    <w:rsid w:val="00701717"/>
    <w:rsid w:val="0070449B"/>
    <w:rsid w:val="00707F4B"/>
    <w:rsid w:val="0071213B"/>
    <w:rsid w:val="00712F67"/>
    <w:rsid w:val="00722128"/>
    <w:rsid w:val="00722237"/>
    <w:rsid w:val="007309C3"/>
    <w:rsid w:val="00737AA3"/>
    <w:rsid w:val="00740A70"/>
    <w:rsid w:val="0074545F"/>
    <w:rsid w:val="007516E4"/>
    <w:rsid w:val="0075311E"/>
    <w:rsid w:val="00755EBE"/>
    <w:rsid w:val="007606AB"/>
    <w:rsid w:val="00764317"/>
    <w:rsid w:val="007838BB"/>
    <w:rsid w:val="00792E87"/>
    <w:rsid w:val="00794CB6"/>
    <w:rsid w:val="00795233"/>
    <w:rsid w:val="007A3921"/>
    <w:rsid w:val="007B5BEA"/>
    <w:rsid w:val="007C6875"/>
    <w:rsid w:val="007D2CAC"/>
    <w:rsid w:val="007D30FC"/>
    <w:rsid w:val="007D5E84"/>
    <w:rsid w:val="007E20EB"/>
    <w:rsid w:val="007E2489"/>
    <w:rsid w:val="007F0CED"/>
    <w:rsid w:val="007F3B72"/>
    <w:rsid w:val="00806913"/>
    <w:rsid w:val="008129DE"/>
    <w:rsid w:val="008132A1"/>
    <w:rsid w:val="008133A3"/>
    <w:rsid w:val="00820598"/>
    <w:rsid w:val="00821B59"/>
    <w:rsid w:val="0082293D"/>
    <w:rsid w:val="008234C9"/>
    <w:rsid w:val="0082389F"/>
    <w:rsid w:val="00831D7C"/>
    <w:rsid w:val="00832922"/>
    <w:rsid w:val="00833A5A"/>
    <w:rsid w:val="008354A3"/>
    <w:rsid w:val="00842CA5"/>
    <w:rsid w:val="0084628F"/>
    <w:rsid w:val="008540FB"/>
    <w:rsid w:val="00856279"/>
    <w:rsid w:val="0085688C"/>
    <w:rsid w:val="0086180E"/>
    <w:rsid w:val="00862DB2"/>
    <w:rsid w:val="00875F67"/>
    <w:rsid w:val="0088242E"/>
    <w:rsid w:val="008871D5"/>
    <w:rsid w:val="00895F0B"/>
    <w:rsid w:val="008A3D24"/>
    <w:rsid w:val="008B42E6"/>
    <w:rsid w:val="008B521F"/>
    <w:rsid w:val="008C0C14"/>
    <w:rsid w:val="008C2D4C"/>
    <w:rsid w:val="008C3E56"/>
    <w:rsid w:val="008C40D2"/>
    <w:rsid w:val="008C52C5"/>
    <w:rsid w:val="008D7E07"/>
    <w:rsid w:val="008E2355"/>
    <w:rsid w:val="008E2FCE"/>
    <w:rsid w:val="008F033C"/>
    <w:rsid w:val="008F17EF"/>
    <w:rsid w:val="008F2830"/>
    <w:rsid w:val="008F5BC1"/>
    <w:rsid w:val="008F6D0E"/>
    <w:rsid w:val="009075DC"/>
    <w:rsid w:val="00910549"/>
    <w:rsid w:val="00914450"/>
    <w:rsid w:val="00914E38"/>
    <w:rsid w:val="009225D5"/>
    <w:rsid w:val="009241B4"/>
    <w:rsid w:val="00931DF2"/>
    <w:rsid w:val="009530ED"/>
    <w:rsid w:val="00953AC4"/>
    <w:rsid w:val="009577DC"/>
    <w:rsid w:val="00960EBF"/>
    <w:rsid w:val="00965373"/>
    <w:rsid w:val="00965D39"/>
    <w:rsid w:val="00970851"/>
    <w:rsid w:val="009745AA"/>
    <w:rsid w:val="0097647F"/>
    <w:rsid w:val="00981784"/>
    <w:rsid w:val="009822E8"/>
    <w:rsid w:val="00983271"/>
    <w:rsid w:val="0098546E"/>
    <w:rsid w:val="00987CED"/>
    <w:rsid w:val="00992E3C"/>
    <w:rsid w:val="00996DE2"/>
    <w:rsid w:val="009A69A3"/>
    <w:rsid w:val="009C06A6"/>
    <w:rsid w:val="009C2FE4"/>
    <w:rsid w:val="009C3A57"/>
    <w:rsid w:val="009C5F18"/>
    <w:rsid w:val="009E0AB8"/>
    <w:rsid w:val="009E5BD1"/>
    <w:rsid w:val="00A178BC"/>
    <w:rsid w:val="00A2021E"/>
    <w:rsid w:val="00A20F8E"/>
    <w:rsid w:val="00A21752"/>
    <w:rsid w:val="00A259D1"/>
    <w:rsid w:val="00A273CE"/>
    <w:rsid w:val="00A468DC"/>
    <w:rsid w:val="00A51593"/>
    <w:rsid w:val="00A522D7"/>
    <w:rsid w:val="00A55040"/>
    <w:rsid w:val="00A6520E"/>
    <w:rsid w:val="00A70DEE"/>
    <w:rsid w:val="00A7239E"/>
    <w:rsid w:val="00A73589"/>
    <w:rsid w:val="00A771D4"/>
    <w:rsid w:val="00A77521"/>
    <w:rsid w:val="00A84BE5"/>
    <w:rsid w:val="00A8506A"/>
    <w:rsid w:val="00A87A45"/>
    <w:rsid w:val="00A92C23"/>
    <w:rsid w:val="00AA5744"/>
    <w:rsid w:val="00AA72F1"/>
    <w:rsid w:val="00AD49A8"/>
    <w:rsid w:val="00AD5B22"/>
    <w:rsid w:val="00AD7ED7"/>
    <w:rsid w:val="00B0105A"/>
    <w:rsid w:val="00B0385E"/>
    <w:rsid w:val="00B06399"/>
    <w:rsid w:val="00B07705"/>
    <w:rsid w:val="00B2221E"/>
    <w:rsid w:val="00B26CE6"/>
    <w:rsid w:val="00B307CB"/>
    <w:rsid w:val="00B36458"/>
    <w:rsid w:val="00B40A9D"/>
    <w:rsid w:val="00B428BE"/>
    <w:rsid w:val="00B4307C"/>
    <w:rsid w:val="00B47209"/>
    <w:rsid w:val="00B51567"/>
    <w:rsid w:val="00B66685"/>
    <w:rsid w:val="00B706B8"/>
    <w:rsid w:val="00B7132A"/>
    <w:rsid w:val="00B74824"/>
    <w:rsid w:val="00B849AF"/>
    <w:rsid w:val="00B9072F"/>
    <w:rsid w:val="00BB1CE9"/>
    <w:rsid w:val="00BB3BCF"/>
    <w:rsid w:val="00BC2857"/>
    <w:rsid w:val="00BD3412"/>
    <w:rsid w:val="00BD796D"/>
    <w:rsid w:val="00C028B2"/>
    <w:rsid w:val="00C04DFC"/>
    <w:rsid w:val="00C11AAF"/>
    <w:rsid w:val="00C15442"/>
    <w:rsid w:val="00C25592"/>
    <w:rsid w:val="00C26F02"/>
    <w:rsid w:val="00C30EAD"/>
    <w:rsid w:val="00C3750B"/>
    <w:rsid w:val="00C429E5"/>
    <w:rsid w:val="00C466E6"/>
    <w:rsid w:val="00C52876"/>
    <w:rsid w:val="00C56611"/>
    <w:rsid w:val="00C62E8B"/>
    <w:rsid w:val="00C71AA6"/>
    <w:rsid w:val="00C72E7B"/>
    <w:rsid w:val="00C914AE"/>
    <w:rsid w:val="00C9267D"/>
    <w:rsid w:val="00C92F76"/>
    <w:rsid w:val="00C930D0"/>
    <w:rsid w:val="00C9395F"/>
    <w:rsid w:val="00CA6E0B"/>
    <w:rsid w:val="00CA73BA"/>
    <w:rsid w:val="00CB0E3B"/>
    <w:rsid w:val="00CB1946"/>
    <w:rsid w:val="00CC106D"/>
    <w:rsid w:val="00CC2664"/>
    <w:rsid w:val="00CC5851"/>
    <w:rsid w:val="00CC619C"/>
    <w:rsid w:val="00CE5368"/>
    <w:rsid w:val="00CE5E5D"/>
    <w:rsid w:val="00CF136F"/>
    <w:rsid w:val="00CF1883"/>
    <w:rsid w:val="00CF5E8C"/>
    <w:rsid w:val="00CF7543"/>
    <w:rsid w:val="00D0048A"/>
    <w:rsid w:val="00D034FF"/>
    <w:rsid w:val="00D13245"/>
    <w:rsid w:val="00D17DC6"/>
    <w:rsid w:val="00D20718"/>
    <w:rsid w:val="00D21E7E"/>
    <w:rsid w:val="00D2366E"/>
    <w:rsid w:val="00D24FD0"/>
    <w:rsid w:val="00D27F1F"/>
    <w:rsid w:val="00D41F2D"/>
    <w:rsid w:val="00D466CE"/>
    <w:rsid w:val="00D67AEA"/>
    <w:rsid w:val="00D815BF"/>
    <w:rsid w:val="00D85F7A"/>
    <w:rsid w:val="00D93B2C"/>
    <w:rsid w:val="00D97E29"/>
    <w:rsid w:val="00DA7CCA"/>
    <w:rsid w:val="00DC5AA0"/>
    <w:rsid w:val="00DC7733"/>
    <w:rsid w:val="00DD61ED"/>
    <w:rsid w:val="00DF5B49"/>
    <w:rsid w:val="00E077F0"/>
    <w:rsid w:val="00E2714C"/>
    <w:rsid w:val="00E32416"/>
    <w:rsid w:val="00E33FD2"/>
    <w:rsid w:val="00E347AA"/>
    <w:rsid w:val="00E45618"/>
    <w:rsid w:val="00E45B0E"/>
    <w:rsid w:val="00E529B0"/>
    <w:rsid w:val="00E558BC"/>
    <w:rsid w:val="00E56644"/>
    <w:rsid w:val="00E56651"/>
    <w:rsid w:val="00E634F0"/>
    <w:rsid w:val="00E64395"/>
    <w:rsid w:val="00E72BD7"/>
    <w:rsid w:val="00E72C8F"/>
    <w:rsid w:val="00E86EE0"/>
    <w:rsid w:val="00E93247"/>
    <w:rsid w:val="00EB6129"/>
    <w:rsid w:val="00EC46B3"/>
    <w:rsid w:val="00EC6C44"/>
    <w:rsid w:val="00ED030A"/>
    <w:rsid w:val="00ED37FC"/>
    <w:rsid w:val="00ED576C"/>
    <w:rsid w:val="00EE102E"/>
    <w:rsid w:val="00EE1E53"/>
    <w:rsid w:val="00EE2CF9"/>
    <w:rsid w:val="00EE5B0F"/>
    <w:rsid w:val="00EE5BEC"/>
    <w:rsid w:val="00F10DA6"/>
    <w:rsid w:val="00F26EF0"/>
    <w:rsid w:val="00F3399E"/>
    <w:rsid w:val="00F36E00"/>
    <w:rsid w:val="00F370FB"/>
    <w:rsid w:val="00F46B28"/>
    <w:rsid w:val="00F54DE3"/>
    <w:rsid w:val="00F632F6"/>
    <w:rsid w:val="00F76E7D"/>
    <w:rsid w:val="00F77275"/>
    <w:rsid w:val="00F8039D"/>
    <w:rsid w:val="00F80BFA"/>
    <w:rsid w:val="00F82A96"/>
    <w:rsid w:val="00F83B87"/>
    <w:rsid w:val="00F860FF"/>
    <w:rsid w:val="00F86CE5"/>
    <w:rsid w:val="00F91F1C"/>
    <w:rsid w:val="00F924CE"/>
    <w:rsid w:val="00FC11AF"/>
    <w:rsid w:val="00FE15D7"/>
    <w:rsid w:val="00FE37B2"/>
    <w:rsid w:val="00FE579B"/>
    <w:rsid w:val="00FE718F"/>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white"/>
    </o:shapedefaults>
    <o:shapelayout v:ext="edit">
      <o:idmap v:ext="edit" data="1"/>
    </o:shapelayout>
  </w:shapeDefaults>
  <w:decimalSymbol w:val="."/>
  <w:listSeparator w:val=","/>
  <w14:docId w14:val="63C7AEC0"/>
  <w15:docId w15:val="{23F3FD7D-CFB8-4CC3-BAA9-6C0D8E0ACF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D20718"/>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D20718"/>
    <w:rPr>
      <w:sz w:val="20"/>
      <w:szCs w:val="20"/>
    </w:rPr>
  </w:style>
  <w:style w:type="paragraph" w:styleId="ListParagraph">
    <w:name w:val="List Paragraph"/>
    <w:aliases w:val="Ha,MCHIP_list paragraph,Recommendation,bk paragraph,Bullet List,FooterText,numbered,List Paragraph1,Paragraphe de liste1,Bulletr List Paragraph,列出段落,列出段落1,Use Case List Paragraph,Page Titles,Numbered List Paragraph,Main numbered paragraph"/>
    <w:basedOn w:val="Normal"/>
    <w:link w:val="ListParagraphChar"/>
    <w:uiPriority w:val="34"/>
    <w:qFormat/>
    <w:rsid w:val="00D20718"/>
  </w:style>
  <w:style w:type="paragraph" w:customStyle="1" w:styleId="TableParagraph">
    <w:name w:val="Table Paragraph"/>
    <w:basedOn w:val="Normal"/>
    <w:uiPriority w:val="1"/>
    <w:qFormat/>
    <w:rsid w:val="00D20718"/>
  </w:style>
  <w:style w:type="table" w:styleId="TableGrid">
    <w:name w:val="Table Grid"/>
    <w:basedOn w:val="TableNormal"/>
    <w:uiPriority w:val="39"/>
    <w:rsid w:val="00B9072F"/>
    <w:pPr>
      <w:widowControl/>
      <w:autoSpaceDE/>
      <w:autoSpaceDN/>
    </w:pPr>
    <w:rPr>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C466E6"/>
    <w:pPr>
      <w:tabs>
        <w:tab w:val="center" w:pos="4513"/>
        <w:tab w:val="right" w:pos="9026"/>
      </w:tabs>
    </w:pPr>
  </w:style>
  <w:style w:type="character" w:customStyle="1" w:styleId="HeaderChar">
    <w:name w:val="Header Char"/>
    <w:basedOn w:val="DefaultParagraphFont"/>
    <w:link w:val="Header"/>
    <w:uiPriority w:val="99"/>
    <w:rsid w:val="00C466E6"/>
    <w:rPr>
      <w:rFonts w:ascii="Times New Roman" w:eastAsia="Times New Roman" w:hAnsi="Times New Roman" w:cs="Times New Roman"/>
    </w:rPr>
  </w:style>
  <w:style w:type="paragraph" w:styleId="Footer">
    <w:name w:val="footer"/>
    <w:basedOn w:val="Normal"/>
    <w:link w:val="FooterChar"/>
    <w:uiPriority w:val="99"/>
    <w:unhideWhenUsed/>
    <w:rsid w:val="00C466E6"/>
    <w:pPr>
      <w:tabs>
        <w:tab w:val="center" w:pos="4513"/>
        <w:tab w:val="right" w:pos="9026"/>
      </w:tabs>
    </w:pPr>
  </w:style>
  <w:style w:type="character" w:customStyle="1" w:styleId="FooterChar">
    <w:name w:val="Footer Char"/>
    <w:basedOn w:val="DefaultParagraphFont"/>
    <w:link w:val="Footer"/>
    <w:uiPriority w:val="99"/>
    <w:rsid w:val="00C466E6"/>
    <w:rPr>
      <w:rFonts w:ascii="Times New Roman" w:eastAsia="Times New Roman" w:hAnsi="Times New Roman" w:cs="Times New Roman"/>
    </w:rPr>
  </w:style>
  <w:style w:type="character" w:styleId="Hyperlink">
    <w:name w:val="Hyperlink"/>
    <w:basedOn w:val="DefaultParagraphFont"/>
    <w:uiPriority w:val="99"/>
    <w:unhideWhenUsed/>
    <w:rsid w:val="00C466E6"/>
    <w:rPr>
      <w:color w:val="5F5F5F" w:themeColor="hyperlink"/>
      <w:u w:val="single"/>
    </w:rPr>
  </w:style>
  <w:style w:type="paragraph" w:styleId="BalloonText">
    <w:name w:val="Balloon Text"/>
    <w:basedOn w:val="Normal"/>
    <w:link w:val="BalloonTextChar"/>
    <w:uiPriority w:val="99"/>
    <w:semiHidden/>
    <w:unhideWhenUsed/>
    <w:rsid w:val="00337A47"/>
    <w:rPr>
      <w:rFonts w:ascii="Tahoma" w:hAnsi="Tahoma" w:cs="Tahoma"/>
      <w:sz w:val="16"/>
      <w:szCs w:val="16"/>
    </w:rPr>
  </w:style>
  <w:style w:type="character" w:customStyle="1" w:styleId="BalloonTextChar">
    <w:name w:val="Balloon Text Char"/>
    <w:basedOn w:val="DefaultParagraphFont"/>
    <w:link w:val="BalloonText"/>
    <w:uiPriority w:val="99"/>
    <w:semiHidden/>
    <w:rsid w:val="00337A47"/>
    <w:rPr>
      <w:rFonts w:ascii="Tahoma" w:eastAsia="Times New Roman" w:hAnsi="Tahoma" w:cs="Tahoma"/>
      <w:sz w:val="16"/>
      <w:szCs w:val="16"/>
    </w:rPr>
  </w:style>
  <w:style w:type="paragraph" w:styleId="FootnoteText">
    <w:name w:val="footnote text"/>
    <w:basedOn w:val="Normal"/>
    <w:link w:val="FootnoteTextChar"/>
    <w:uiPriority w:val="99"/>
    <w:unhideWhenUsed/>
    <w:rsid w:val="00420EA1"/>
    <w:pPr>
      <w:widowControl/>
      <w:autoSpaceDE/>
      <w:autoSpaceDN/>
    </w:pPr>
    <w:rPr>
      <w:rFonts w:asciiTheme="minorHAnsi" w:eastAsiaTheme="minorHAnsi" w:hAnsiTheme="minorHAnsi" w:cstheme="minorBidi"/>
      <w:sz w:val="20"/>
      <w:szCs w:val="20"/>
    </w:rPr>
  </w:style>
  <w:style w:type="character" w:customStyle="1" w:styleId="FootnoteTextChar">
    <w:name w:val="Footnote Text Char"/>
    <w:basedOn w:val="DefaultParagraphFont"/>
    <w:link w:val="FootnoteText"/>
    <w:uiPriority w:val="99"/>
    <w:rsid w:val="00420EA1"/>
    <w:rPr>
      <w:sz w:val="20"/>
      <w:szCs w:val="20"/>
    </w:rPr>
  </w:style>
  <w:style w:type="character" w:styleId="FootnoteReference">
    <w:name w:val="footnote reference"/>
    <w:basedOn w:val="DefaultParagraphFont"/>
    <w:uiPriority w:val="99"/>
    <w:semiHidden/>
    <w:unhideWhenUsed/>
    <w:rsid w:val="00420EA1"/>
    <w:rPr>
      <w:vertAlign w:val="superscript"/>
    </w:rPr>
  </w:style>
  <w:style w:type="character" w:styleId="CommentReference">
    <w:name w:val="annotation reference"/>
    <w:basedOn w:val="DefaultParagraphFont"/>
    <w:uiPriority w:val="99"/>
    <w:semiHidden/>
    <w:unhideWhenUsed/>
    <w:rsid w:val="00755EBE"/>
    <w:rPr>
      <w:sz w:val="16"/>
      <w:szCs w:val="16"/>
    </w:rPr>
  </w:style>
  <w:style w:type="paragraph" w:styleId="CommentText">
    <w:name w:val="annotation text"/>
    <w:basedOn w:val="Normal"/>
    <w:link w:val="CommentTextChar"/>
    <w:uiPriority w:val="99"/>
    <w:semiHidden/>
    <w:unhideWhenUsed/>
    <w:rsid w:val="00755EBE"/>
    <w:rPr>
      <w:sz w:val="20"/>
      <w:szCs w:val="20"/>
    </w:rPr>
  </w:style>
  <w:style w:type="character" w:customStyle="1" w:styleId="CommentTextChar">
    <w:name w:val="Comment Text Char"/>
    <w:basedOn w:val="DefaultParagraphFont"/>
    <w:link w:val="CommentText"/>
    <w:uiPriority w:val="99"/>
    <w:semiHidden/>
    <w:rsid w:val="00755EBE"/>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55EBE"/>
    <w:rPr>
      <w:b/>
      <w:bCs/>
    </w:rPr>
  </w:style>
  <w:style w:type="character" w:customStyle="1" w:styleId="CommentSubjectChar">
    <w:name w:val="Comment Subject Char"/>
    <w:basedOn w:val="CommentTextChar"/>
    <w:link w:val="CommentSubject"/>
    <w:uiPriority w:val="99"/>
    <w:semiHidden/>
    <w:rsid w:val="00755EBE"/>
    <w:rPr>
      <w:rFonts w:ascii="Times New Roman" w:eastAsia="Times New Roman" w:hAnsi="Times New Roman" w:cs="Times New Roman"/>
      <w:b/>
      <w:bCs/>
      <w:sz w:val="20"/>
      <w:szCs w:val="20"/>
    </w:rPr>
  </w:style>
  <w:style w:type="character" w:customStyle="1" w:styleId="ListParagraphChar">
    <w:name w:val="List Paragraph Char"/>
    <w:aliases w:val="Ha Char,MCHIP_list paragraph Char,Recommendation Char,bk paragraph Char,Bullet List Char,FooterText Char,numbered Char,List Paragraph1 Char,Paragraphe de liste1 Char,Bulletr List Paragraph Char,列出段落 Char,列出段落1 Char,Page Titles Char"/>
    <w:link w:val="ListParagraph"/>
    <w:uiPriority w:val="34"/>
    <w:qFormat/>
    <w:rsid w:val="00040536"/>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56211607">
      <w:bodyDiv w:val="1"/>
      <w:marLeft w:val="0"/>
      <w:marRight w:val="0"/>
      <w:marTop w:val="0"/>
      <w:marBottom w:val="0"/>
      <w:divBdr>
        <w:top w:val="none" w:sz="0" w:space="0" w:color="auto"/>
        <w:left w:val="none" w:sz="0" w:space="0" w:color="auto"/>
        <w:bottom w:val="none" w:sz="0" w:space="0" w:color="auto"/>
        <w:right w:val="none" w:sz="0" w:space="0" w:color="auto"/>
      </w:divBdr>
    </w:div>
    <w:div w:id="160550296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0.png"/><Relationship Id="rId13" Type="http://schemas.openxmlformats.org/officeDocument/2006/relationships/hyperlink" Target="https://doi.org/10.10571s4131-021-00345-w" TargetMode="Externa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30.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20.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header" Target="header1.xml"/></Relationships>
</file>

<file path=word/_rels/footer1.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footnotes.xml.rels><?xml version="1.0" encoding="UTF-8" standalone="yes"?>
<Relationships xmlns="http://schemas.openxmlformats.org/package/2006/relationships"><Relationship Id="rId3" Type="http://schemas.openxmlformats.org/officeDocument/2006/relationships/hyperlink" Target="mailto:kalimoeketsi2@gmail.com" TargetMode="External"/><Relationship Id="rId2" Type="http://schemas.openxmlformats.org/officeDocument/2006/relationships/hyperlink" Target="mailto:khabelematlosa@rocketmail.com" TargetMode="External"/><Relationship Id="rId1" Type="http://schemas.openxmlformats.org/officeDocument/2006/relationships/hyperlink" Target="mailto:matlosak@gmail.com"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5.jpeg"/><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Glow Edge">
      <a:fillStyleLst>
        <a:solidFill>
          <a:schemeClr val="phClr"/>
        </a:solidFill>
        <a:solidFill>
          <a:schemeClr val="phClr">
            <a:tint val="55000"/>
          </a:schemeClr>
        </a:solidFill>
        <a:solidFill>
          <a:schemeClr val="phClr"/>
        </a:soli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outerShdw blurRad="50800" dist="25400" algn="bl" rotWithShape="0">
              <a:srgbClr val="000000">
                <a:alpha val="60000"/>
              </a:srgbClr>
            </a:outerShdw>
          </a:effectLst>
        </a:effectStyle>
        <a:effectStyle>
          <a:effectLst/>
          <a:scene3d>
            <a:camera prst="orthographicFront">
              <a:rot lat="0" lon="0" rev="0"/>
            </a:camera>
            <a:lightRig rig="brightRoom" dir="tl">
              <a:rot lat="0" lon="0" rev="1800000"/>
            </a:lightRig>
          </a:scene3d>
          <a:sp3d contourW="10160" prstMaterial="dkEdge">
            <a:bevelT w="38100" h="50800" prst="angle"/>
            <a:contourClr>
              <a:schemeClr val="phClr">
                <a:shade val="40000"/>
                <a:satMod val="15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8</Pages>
  <Words>1742</Words>
  <Characters>9930</Characters>
  <Application>Microsoft Office Word</Application>
  <DocSecurity>0</DocSecurity>
  <Lines>82</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Pelumi Obisesan</dc:creator>
  <cp:lastModifiedBy>KALI</cp:lastModifiedBy>
  <cp:revision>2</cp:revision>
  <cp:lastPrinted>2024-10-12T04:39:00Z</cp:lastPrinted>
  <dcterms:created xsi:type="dcterms:W3CDTF">2025-05-08T05:58:00Z</dcterms:created>
  <dcterms:modified xsi:type="dcterms:W3CDTF">2025-05-08T05:58:00Z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2024-08-27T00:00:00Z</vt:filetime>
  </property>
  <property fmtid="{D5CDD505-2E9C-101B-9397-08002B2CF9AE}" pid="3" name="Creator">
    <vt:lpwstr>Microsoft® Word for Microsoft 365</vt:lpwstr>
  </property>
  <property fmtid="{D5CDD505-2E9C-101B-9397-08002B2CF9AE}" pid="4" name="LastSaved">
    <vt:filetime>2024-09-02T00:00:00Z</vt:filetime>
  </property>
</Properties>
</file>